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sz w:val="24"/>
          <w:szCs w:val="24"/>
        </w:rPr>
      </w:pPr>
      <w:r>
        <w:rPr>
          <w:rFonts w:hint="eastAsia"/>
          <w:b/>
          <w:sz w:val="24"/>
          <w:szCs w:val="24"/>
        </w:rPr>
        <w:t>编号：</w:t>
      </w:r>
      <w:r>
        <w:rPr>
          <w:b/>
          <w:sz w:val="24"/>
          <w:szCs w:val="24"/>
        </w:rPr>
        <w:t>IT-202010-001</w:t>
      </w: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rPr>
          <w:sz w:val="36"/>
          <w:szCs w:val="36"/>
        </w:rPr>
      </w:pPr>
    </w:p>
    <w:p>
      <w:pPr>
        <w:spacing w:line="360" w:lineRule="auto"/>
        <w:jc w:val="center"/>
      </w:pPr>
      <w:r>
        <w:rPr>
          <w:rFonts w:hint="eastAsia" w:cs="宋体"/>
          <w:b/>
          <w:bCs/>
          <w:sz w:val="48"/>
          <w:szCs w:val="48"/>
        </w:rPr>
        <w:t>数据中心建设项目</w:t>
      </w:r>
    </w:p>
    <w:p>
      <w:pPr>
        <w:spacing w:line="360" w:lineRule="auto"/>
        <w:jc w:val="center"/>
        <w:rPr>
          <w:rFonts w:hAnsi="宋体"/>
          <w:b/>
          <w:bCs/>
          <w:sz w:val="48"/>
          <w:szCs w:val="48"/>
        </w:rPr>
      </w:pPr>
      <w:r>
        <w:rPr>
          <w:rFonts w:hint="eastAsia" w:hAnsi="宋体"/>
          <w:b/>
          <w:bCs/>
          <w:sz w:val="48"/>
          <w:szCs w:val="48"/>
        </w:rPr>
        <w:t>（服务器、备份设备）</w:t>
      </w:r>
    </w:p>
    <w:p>
      <w:pPr>
        <w:spacing w:line="360" w:lineRule="auto"/>
        <w:jc w:val="center"/>
        <w:rPr>
          <w:b/>
          <w:bCs/>
          <w:sz w:val="52"/>
          <w:szCs w:val="52"/>
        </w:rPr>
      </w:pPr>
      <w:r>
        <w:rPr>
          <w:rFonts w:hint="eastAsia" w:cs="宋体"/>
          <w:b/>
          <w:bCs/>
          <w:sz w:val="52"/>
          <w:szCs w:val="52"/>
        </w:rPr>
        <w:t>招标文件</w:t>
      </w:r>
    </w:p>
    <w:p>
      <w:pPr>
        <w:spacing w:line="360" w:lineRule="auto"/>
        <w:ind w:firstLine="3465" w:firstLineChars="1650"/>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sz w:val="32"/>
          <w:szCs w:val="32"/>
        </w:rPr>
      </w:pPr>
    </w:p>
    <w:p>
      <w:pPr>
        <w:spacing w:line="360" w:lineRule="auto"/>
        <w:rPr>
          <w:sz w:val="32"/>
          <w:szCs w:val="32"/>
        </w:rPr>
      </w:pPr>
    </w:p>
    <w:p>
      <w:pPr>
        <w:spacing w:line="360" w:lineRule="auto"/>
        <w:jc w:val="center"/>
        <w:rPr>
          <w:rFonts w:ascii="宋体" w:hAnsi="宋体"/>
          <w:b/>
          <w:bCs/>
          <w:sz w:val="32"/>
          <w:szCs w:val="32"/>
        </w:rPr>
      </w:pPr>
      <w:r>
        <w:rPr>
          <w:rFonts w:hint="eastAsia" w:cs="宋体"/>
          <w:b/>
          <w:bCs/>
          <w:sz w:val="32"/>
          <w:szCs w:val="32"/>
        </w:rPr>
        <w:t>招标人</w:t>
      </w:r>
      <w:r>
        <w:rPr>
          <w:rFonts w:hint="eastAsia" w:cs="宋体"/>
          <w:sz w:val="32"/>
          <w:szCs w:val="32"/>
        </w:rPr>
        <w:t>：</w:t>
      </w:r>
      <w:r>
        <w:rPr>
          <w:rFonts w:hint="eastAsia" w:ascii="宋体" w:hAnsi="宋体"/>
          <w:b/>
          <w:bCs/>
          <w:sz w:val="32"/>
        </w:rPr>
        <w:t>广东兴发铝业有限公司</w:t>
      </w:r>
    </w:p>
    <w:p>
      <w:pPr>
        <w:spacing w:line="360" w:lineRule="auto"/>
        <w:jc w:val="center"/>
        <w:rPr>
          <w:sz w:val="24"/>
          <w:szCs w:val="24"/>
        </w:rPr>
      </w:pPr>
      <w:r>
        <w:rPr>
          <w:rFonts w:hint="eastAsia" w:cs="宋体"/>
          <w:b/>
          <w:bCs/>
          <w:sz w:val="32"/>
          <w:szCs w:val="32"/>
        </w:rPr>
        <w:t>招标编号</w:t>
      </w:r>
      <w:r>
        <w:rPr>
          <w:rFonts w:hint="eastAsia" w:cs="宋体"/>
          <w:sz w:val="32"/>
          <w:szCs w:val="32"/>
        </w:rPr>
        <w:t>：</w:t>
      </w:r>
      <w:r>
        <w:rPr>
          <w:rFonts w:ascii="宋体" w:hAnsi="宋体"/>
          <w:b/>
          <w:bCs/>
          <w:sz w:val="32"/>
        </w:rPr>
        <w:t>IT-202010-001</w:t>
      </w:r>
    </w:p>
    <w:p>
      <w:pPr>
        <w:spacing w:line="360" w:lineRule="auto"/>
        <w:jc w:val="center"/>
        <w:rPr>
          <w:rFonts w:ascii="宋体" w:hAnsi="宋体"/>
          <w:b/>
          <w:bCs/>
          <w:sz w:val="32"/>
        </w:rPr>
      </w:pPr>
      <w:r>
        <w:rPr>
          <w:rFonts w:hint="eastAsia" w:ascii="宋体" w:hAnsi="宋体"/>
          <w:b/>
          <w:bCs/>
          <w:sz w:val="32"/>
        </w:rPr>
        <w:t>2020年</w:t>
      </w:r>
      <w:r>
        <w:rPr>
          <w:rFonts w:ascii="宋体" w:hAnsi="宋体"/>
          <w:b/>
          <w:bCs/>
          <w:sz w:val="32"/>
        </w:rPr>
        <w:t>10</w:t>
      </w:r>
      <w:r>
        <w:rPr>
          <w:rFonts w:hint="eastAsia" w:ascii="宋体" w:hAnsi="宋体"/>
          <w:b/>
          <w:bCs/>
          <w:sz w:val="32"/>
        </w:rPr>
        <w:t>月</w:t>
      </w:r>
      <w:r>
        <w:rPr>
          <w:rFonts w:ascii="宋体" w:hAnsi="宋体"/>
          <w:b/>
          <w:bCs/>
          <w:sz w:val="32"/>
        </w:rPr>
        <w:t>07</w:t>
      </w:r>
      <w:r>
        <w:rPr>
          <w:rFonts w:hint="eastAsia" w:ascii="宋体" w:hAnsi="宋体"/>
          <w:b/>
          <w:bCs/>
          <w:sz w:val="32"/>
        </w:rPr>
        <w:t>日</w:t>
      </w:r>
    </w:p>
    <w:p>
      <w:pPr>
        <w:spacing w:line="360" w:lineRule="auto"/>
        <w:jc w:val="center"/>
        <w:rPr>
          <w:rFonts w:ascii="宋体" w:hAnsi="宋体"/>
          <w:b/>
          <w:bCs/>
          <w:sz w:val="32"/>
        </w:rPr>
      </w:pPr>
    </w:p>
    <w:p>
      <w:pPr>
        <w:spacing w:line="360" w:lineRule="auto"/>
        <w:rPr>
          <w:rFonts w:ascii="宋体" w:hAnsi="宋体"/>
          <w:b/>
          <w:bCs/>
          <w:sz w:val="32"/>
        </w:rPr>
      </w:pPr>
    </w:p>
    <w:sdt>
      <w:sdtPr>
        <w:rPr>
          <w:rFonts w:ascii="Times New Roman" w:hAnsi="Times New Roman" w:eastAsia="宋体"/>
          <w:color w:val="auto"/>
          <w:kern w:val="2"/>
          <w:sz w:val="21"/>
          <w:szCs w:val="22"/>
          <w:lang w:val="zh-CN"/>
        </w:rPr>
        <w:id w:val="1403257776"/>
        <w:docPartObj>
          <w:docPartGallery w:val="Table of Contents"/>
          <w:docPartUnique/>
        </w:docPartObj>
      </w:sdtPr>
      <w:sdtEndPr>
        <w:rPr>
          <w:rFonts w:ascii="Times New Roman" w:hAnsi="Times New Roman" w:eastAsia="宋体"/>
          <w:b/>
          <w:bCs/>
          <w:color w:val="auto"/>
          <w:kern w:val="2"/>
          <w:sz w:val="21"/>
          <w:szCs w:val="22"/>
          <w:lang w:val="zh-CN"/>
        </w:rPr>
      </w:sdtEndPr>
      <w:sdtContent>
        <w:p>
          <w:pPr>
            <w:pStyle w:val="59"/>
          </w:pPr>
          <w:r>
            <w:rPr>
              <w:lang w:val="zh-CN"/>
            </w:rPr>
            <w:t>目录</w:t>
          </w:r>
        </w:p>
        <w:p>
          <w:pPr>
            <w:pStyle w:val="15"/>
            <w:tabs>
              <w:tab w:val="right" w:leader="dot" w:pos="9174"/>
            </w:tabs>
            <w:rPr>
              <w:rFonts w:asciiTheme="minorHAnsi" w:hAnsiTheme="minorHAnsi" w:eastAsiaTheme="minorEastAsia" w:cstheme="minorBidi"/>
            </w:rPr>
          </w:pPr>
          <w:r>
            <w:fldChar w:fldCharType="begin"/>
          </w:r>
          <w:r>
            <w:instrText xml:space="preserve"> TOC \o "1-3" \h \z \u </w:instrText>
          </w:r>
          <w:r>
            <w:fldChar w:fldCharType="separate"/>
          </w:r>
          <w:r>
            <w:fldChar w:fldCharType="begin"/>
          </w:r>
          <w:r>
            <w:instrText xml:space="preserve"> HYPERLINK \l "_Toc52888917" </w:instrText>
          </w:r>
          <w:r>
            <w:fldChar w:fldCharType="separate"/>
          </w:r>
          <w:r>
            <w:rPr>
              <w:rStyle w:val="24"/>
              <w:rFonts w:ascii="宋体" w:hAnsi="宋体"/>
            </w:rPr>
            <w:t>第一部分投标邀请函</w:t>
          </w:r>
          <w:r>
            <w:tab/>
          </w:r>
          <w:r>
            <w:fldChar w:fldCharType="begin"/>
          </w:r>
          <w:r>
            <w:instrText xml:space="preserve"> PAGEREF _Toc52888917 \h </w:instrText>
          </w:r>
          <w:r>
            <w:fldChar w:fldCharType="separate"/>
          </w:r>
          <w:r>
            <w:t>1</w:t>
          </w:r>
          <w:r>
            <w:fldChar w:fldCharType="end"/>
          </w:r>
          <w:r>
            <w:fldChar w:fldCharType="end"/>
          </w:r>
        </w:p>
        <w:p>
          <w:pPr>
            <w:pStyle w:val="15"/>
            <w:tabs>
              <w:tab w:val="right" w:leader="dot" w:pos="9174"/>
            </w:tabs>
            <w:rPr>
              <w:rFonts w:asciiTheme="minorHAnsi" w:hAnsiTheme="minorHAnsi" w:eastAsiaTheme="minorEastAsia" w:cstheme="minorBidi"/>
            </w:rPr>
          </w:pPr>
          <w:r>
            <w:fldChar w:fldCharType="begin"/>
          </w:r>
          <w:r>
            <w:instrText xml:space="preserve"> HYPERLINK \l "_Toc52888918" </w:instrText>
          </w:r>
          <w:r>
            <w:fldChar w:fldCharType="separate"/>
          </w:r>
          <w:r>
            <w:rPr>
              <w:rStyle w:val="24"/>
              <w:rFonts w:ascii="宋体" w:hAnsi="宋体"/>
            </w:rPr>
            <w:t>第二部分  招标说明</w:t>
          </w:r>
          <w:r>
            <w:tab/>
          </w:r>
          <w:r>
            <w:fldChar w:fldCharType="begin"/>
          </w:r>
          <w:r>
            <w:instrText xml:space="preserve"> PAGEREF _Toc52888918 \h </w:instrText>
          </w:r>
          <w:r>
            <w:fldChar w:fldCharType="separate"/>
          </w:r>
          <w:r>
            <w:t>3</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"_Toc52888919" </w:instrText>
          </w:r>
          <w:r>
            <w:fldChar w:fldCharType="separate"/>
          </w:r>
          <w:r>
            <w:rPr>
              <w:rStyle w:val="24"/>
            </w:rPr>
            <w:t>第一章  招标介绍及要求</w:t>
          </w:r>
          <w:r>
            <w:tab/>
          </w:r>
          <w:r>
            <w:fldChar w:fldCharType="begin"/>
          </w:r>
          <w:r>
            <w:instrText xml:space="preserve"> PAGEREF _Toc52888919 \h </w:instrText>
          </w:r>
          <w:r>
            <w:fldChar w:fldCharType="separate"/>
          </w:r>
          <w:r>
            <w:t>3</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"_Toc52888920" </w:instrText>
          </w:r>
          <w:r>
            <w:fldChar w:fldCharType="separate"/>
          </w:r>
          <w:r>
            <w:rPr>
              <w:rStyle w:val="24"/>
              <w:b/>
            </w:rPr>
            <w:t>一、</w:t>
          </w:r>
          <w:r>
            <w:rPr>
              <w:rFonts w:asciiTheme="minorHAnsi" w:hAnsiTheme="minorHAnsi" w:eastAsiaTheme="minorEastAsia" w:cstheme="minorBidi"/>
            </w:rPr>
            <w:tab/>
          </w:r>
          <w:r>
            <w:rPr>
              <w:rStyle w:val="24"/>
              <w:rFonts w:ascii="宋体" w:hAnsi="宋体"/>
              <w:b/>
            </w:rPr>
            <w:t>招标方式</w:t>
          </w:r>
          <w:r>
            <w:tab/>
          </w:r>
          <w:r>
            <w:fldChar w:fldCharType="begin"/>
          </w:r>
          <w:r>
            <w:instrText xml:space="preserve"> PAGEREF _Toc52888920 \h </w:instrText>
          </w:r>
          <w:r>
            <w:fldChar w:fldCharType="separate"/>
          </w:r>
          <w:r>
            <w:t>3</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"_Toc52888921" </w:instrText>
          </w:r>
          <w:r>
            <w:fldChar w:fldCharType="separate"/>
          </w:r>
          <w:r>
            <w:rPr>
              <w:rStyle w:val="24"/>
              <w:b/>
            </w:rPr>
            <w:t>二、</w:t>
          </w:r>
          <w:r>
            <w:rPr>
              <w:rFonts w:asciiTheme="minorHAnsi" w:hAnsiTheme="minorHAnsi" w:eastAsiaTheme="minorEastAsia" w:cstheme="minorBidi"/>
            </w:rPr>
            <w:tab/>
          </w:r>
          <w:r>
            <w:rPr>
              <w:rStyle w:val="24"/>
              <w:rFonts w:ascii="宋体" w:hAnsi="宋体"/>
              <w:b/>
            </w:rPr>
            <w:t>定义</w:t>
          </w:r>
          <w:r>
            <w:tab/>
          </w:r>
          <w:r>
            <w:fldChar w:fldCharType="begin"/>
          </w:r>
          <w:r>
            <w:instrText xml:space="preserve"> PAGEREF _Toc52888921 \h </w:instrText>
          </w:r>
          <w:r>
            <w:fldChar w:fldCharType="separate"/>
          </w:r>
          <w:r>
            <w:t>3</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"_Toc52888922" </w:instrText>
          </w:r>
          <w:r>
            <w:fldChar w:fldCharType="separate"/>
          </w:r>
          <w:r>
            <w:rPr>
              <w:rStyle w:val="24"/>
              <w:b/>
            </w:rPr>
            <w:t>三、</w:t>
          </w:r>
          <w:r>
            <w:rPr>
              <w:rFonts w:asciiTheme="minorHAnsi" w:hAnsiTheme="minorHAnsi" w:eastAsiaTheme="minorEastAsia" w:cstheme="minorBidi"/>
            </w:rPr>
            <w:tab/>
          </w:r>
          <w:r>
            <w:rPr>
              <w:rStyle w:val="24"/>
              <w:rFonts w:ascii="宋体" w:hAnsi="宋体"/>
              <w:b/>
            </w:rPr>
            <w:t>投标人条件</w:t>
          </w:r>
          <w:r>
            <w:tab/>
          </w:r>
          <w:r>
            <w:fldChar w:fldCharType="begin"/>
          </w:r>
          <w:r>
            <w:instrText xml:space="preserve"> PAGEREF _Toc52888922 \h </w:instrText>
          </w:r>
          <w:r>
            <w:fldChar w:fldCharType="separate"/>
          </w:r>
          <w:r>
            <w:t>4</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"_Toc52888923" </w:instrText>
          </w:r>
          <w:r>
            <w:fldChar w:fldCharType="separate"/>
          </w:r>
          <w:r>
            <w:rPr>
              <w:rStyle w:val="24"/>
              <w:b/>
            </w:rPr>
            <w:t>四、</w:t>
          </w:r>
          <w:r>
            <w:rPr>
              <w:rFonts w:asciiTheme="minorHAnsi" w:hAnsiTheme="minorHAnsi" w:eastAsiaTheme="minorEastAsia" w:cstheme="minorBidi"/>
            </w:rPr>
            <w:tab/>
          </w:r>
          <w:r>
            <w:rPr>
              <w:rStyle w:val="24"/>
              <w:rFonts w:ascii="宋体" w:hAnsi="宋体"/>
              <w:b/>
            </w:rPr>
            <w:t>招标方式</w:t>
          </w:r>
          <w:r>
            <w:tab/>
          </w:r>
          <w:r>
            <w:fldChar w:fldCharType="begin"/>
          </w:r>
          <w:r>
            <w:instrText xml:space="preserve"> PAGEREF _Toc52888923 \h </w:instrText>
          </w:r>
          <w:r>
            <w:fldChar w:fldCharType="separate"/>
          </w:r>
          <w:r>
            <w:t>4</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"_Toc52888924" </w:instrText>
          </w:r>
          <w:r>
            <w:fldChar w:fldCharType="separate"/>
          </w:r>
          <w:r>
            <w:rPr>
              <w:rStyle w:val="24"/>
              <w:b/>
            </w:rPr>
            <w:t>五、</w:t>
          </w:r>
          <w:r>
            <w:rPr>
              <w:rFonts w:asciiTheme="minorHAnsi" w:hAnsiTheme="minorHAnsi" w:eastAsiaTheme="minorEastAsia" w:cstheme="minorBidi"/>
            </w:rPr>
            <w:tab/>
          </w:r>
          <w:r>
            <w:rPr>
              <w:rStyle w:val="24"/>
              <w:rFonts w:ascii="宋体" w:hAnsi="宋体"/>
              <w:b/>
            </w:rPr>
            <w:t>对投标文件的评估和比较</w:t>
          </w:r>
          <w:r>
            <w:tab/>
          </w:r>
          <w:r>
            <w:fldChar w:fldCharType="begin"/>
          </w:r>
          <w:r>
            <w:instrText xml:space="preserve"> PAGEREF _Toc52888924 \h </w:instrText>
          </w:r>
          <w:r>
            <w:fldChar w:fldCharType="separate"/>
          </w:r>
          <w:r>
            <w:t>4</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"_Toc52888925" </w:instrText>
          </w:r>
          <w:r>
            <w:fldChar w:fldCharType="separate"/>
          </w:r>
          <w:r>
            <w:rPr>
              <w:rStyle w:val="24"/>
              <w:b/>
            </w:rPr>
            <w:t>六、</w:t>
          </w:r>
          <w:r>
            <w:rPr>
              <w:rFonts w:asciiTheme="minorHAnsi" w:hAnsiTheme="minorHAnsi" w:eastAsiaTheme="minorEastAsia" w:cstheme="minorBidi"/>
            </w:rPr>
            <w:tab/>
          </w:r>
          <w:r>
            <w:rPr>
              <w:rStyle w:val="24"/>
              <w:rFonts w:ascii="宋体" w:hAnsi="宋体"/>
              <w:b/>
            </w:rPr>
            <w:t>投标费用</w:t>
          </w:r>
          <w:r>
            <w:tab/>
          </w:r>
          <w:r>
            <w:fldChar w:fldCharType="begin"/>
          </w:r>
          <w:r>
            <w:instrText xml:space="preserve"> PAGEREF _Toc52888925 \h </w:instrText>
          </w:r>
          <w:r>
            <w:fldChar w:fldCharType="separate"/>
          </w:r>
          <w:r>
            <w:t>5</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"_Toc52888926" </w:instrText>
          </w:r>
          <w:r>
            <w:fldChar w:fldCharType="separate"/>
          </w:r>
          <w:r>
            <w:rPr>
              <w:rStyle w:val="24"/>
              <w:b/>
            </w:rPr>
            <w:t>七、</w:t>
          </w:r>
          <w:r>
            <w:rPr>
              <w:rFonts w:asciiTheme="minorHAnsi" w:hAnsiTheme="minorHAnsi" w:eastAsiaTheme="minorEastAsia" w:cstheme="minorBidi"/>
            </w:rPr>
            <w:tab/>
          </w:r>
          <w:r>
            <w:rPr>
              <w:rStyle w:val="24"/>
              <w:rFonts w:ascii="宋体" w:hAnsi="宋体"/>
              <w:b/>
            </w:rPr>
            <w:t>招标文件的组成、解释、修改及补充</w:t>
          </w:r>
          <w:r>
            <w:tab/>
          </w:r>
          <w:r>
            <w:fldChar w:fldCharType="begin"/>
          </w:r>
          <w:r>
            <w:instrText xml:space="preserve"> PAGEREF _Toc52888926 \h </w:instrText>
          </w:r>
          <w:r>
            <w:fldChar w:fldCharType="separate"/>
          </w:r>
          <w:r>
            <w:t>5</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"_Toc52888927" </w:instrText>
          </w:r>
          <w:r>
            <w:fldChar w:fldCharType="separate"/>
          </w:r>
          <w:r>
            <w:rPr>
              <w:rStyle w:val="24"/>
              <w:b/>
            </w:rPr>
            <w:t>八、</w:t>
          </w:r>
          <w:r>
            <w:rPr>
              <w:rFonts w:asciiTheme="minorHAnsi" w:hAnsiTheme="minorHAnsi" w:eastAsiaTheme="minorEastAsia" w:cstheme="minorBidi"/>
            </w:rPr>
            <w:tab/>
          </w:r>
          <w:r>
            <w:rPr>
              <w:rStyle w:val="24"/>
              <w:rFonts w:ascii="宋体" w:hAnsi="宋体"/>
              <w:b/>
            </w:rPr>
            <w:t>投标文件的编制</w:t>
          </w:r>
          <w:r>
            <w:tab/>
          </w:r>
          <w:r>
            <w:fldChar w:fldCharType="begin"/>
          </w:r>
          <w:r>
            <w:instrText xml:space="preserve"> PAGEREF _Toc52888927 \h </w:instrText>
          </w:r>
          <w:r>
            <w:fldChar w:fldCharType="separate"/>
          </w:r>
          <w:r>
            <w:t>6</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"_Toc52888928" </w:instrText>
          </w:r>
          <w:r>
            <w:fldChar w:fldCharType="separate"/>
          </w:r>
          <w:r>
            <w:rPr>
              <w:rStyle w:val="24"/>
              <w:b/>
            </w:rPr>
            <w:t>九、</w:t>
          </w:r>
          <w:r>
            <w:rPr>
              <w:rFonts w:asciiTheme="minorHAnsi" w:hAnsiTheme="minorHAnsi" w:eastAsiaTheme="minorEastAsia" w:cstheme="minorBidi"/>
            </w:rPr>
            <w:tab/>
          </w:r>
          <w:r>
            <w:rPr>
              <w:rStyle w:val="24"/>
              <w:rFonts w:ascii="宋体" w:hAnsi="宋体"/>
              <w:b/>
            </w:rPr>
            <w:t>投标文件的打印、装订、签署、密封、标志及递交、修改及撤回</w:t>
          </w:r>
          <w:r>
            <w:tab/>
          </w:r>
          <w:r>
            <w:fldChar w:fldCharType="begin"/>
          </w:r>
          <w:r>
            <w:instrText xml:space="preserve"> PAGEREF _Toc52888928 \h </w:instrText>
          </w:r>
          <w:r>
            <w:fldChar w:fldCharType="separate"/>
          </w:r>
          <w:r>
            <w:t>6</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"_Toc52888929" </w:instrText>
          </w:r>
          <w:r>
            <w:fldChar w:fldCharType="separate"/>
          </w:r>
          <w:r>
            <w:rPr>
              <w:rStyle w:val="24"/>
              <w:b/>
            </w:rPr>
            <w:t>十、</w:t>
          </w:r>
          <w:r>
            <w:rPr>
              <w:rFonts w:asciiTheme="minorHAnsi" w:hAnsiTheme="minorHAnsi" w:eastAsiaTheme="minorEastAsia" w:cstheme="minorBidi"/>
            </w:rPr>
            <w:tab/>
          </w:r>
          <w:r>
            <w:rPr>
              <w:rStyle w:val="24"/>
              <w:rFonts w:ascii="宋体" w:hAnsi="宋体"/>
              <w:b/>
            </w:rPr>
            <w:t>评标与定标</w:t>
          </w:r>
          <w:r>
            <w:tab/>
          </w:r>
          <w:r>
            <w:fldChar w:fldCharType="begin"/>
          </w:r>
          <w:r>
            <w:instrText xml:space="preserve"> PAGEREF _Toc52888929 \h </w:instrText>
          </w:r>
          <w:r>
            <w:fldChar w:fldCharType="separate"/>
          </w:r>
          <w:r>
            <w:t>7</w:t>
          </w:r>
          <w:r>
            <w:fldChar w:fldCharType="end"/>
          </w:r>
          <w:r>
            <w:fldChar w:fldCharType="end"/>
          </w:r>
        </w:p>
        <w:p>
          <w:pPr>
            <w:pStyle w:val="10"/>
            <w:tabs>
              <w:tab w:val="left" w:pos="1682"/>
              <w:tab w:val="right" w:leader="dot" w:pos="9174"/>
            </w:tabs>
            <w:rPr>
              <w:rFonts w:asciiTheme="minorHAnsi" w:hAnsiTheme="minorHAnsi" w:eastAsiaTheme="minorEastAsia" w:cstheme="minorBidi"/>
            </w:rPr>
          </w:pPr>
          <w:r>
            <w:fldChar w:fldCharType="begin"/>
          </w:r>
          <w:r>
            <w:instrText xml:space="preserve"> HYPERLINK \l "_Toc52888930" </w:instrText>
          </w:r>
          <w:r>
            <w:fldChar w:fldCharType="separate"/>
          </w:r>
          <w:r>
            <w:rPr>
              <w:rStyle w:val="24"/>
              <w:b/>
            </w:rPr>
            <w:t>十一、</w:t>
          </w:r>
          <w:r>
            <w:rPr>
              <w:rFonts w:asciiTheme="minorHAnsi" w:hAnsiTheme="minorHAnsi" w:eastAsiaTheme="minorEastAsia" w:cstheme="minorBidi"/>
            </w:rPr>
            <w:tab/>
          </w:r>
          <w:r>
            <w:rPr>
              <w:rStyle w:val="24"/>
              <w:rFonts w:ascii="宋体" w:hAnsi="宋体"/>
              <w:b/>
            </w:rPr>
            <w:t>保密</w:t>
          </w:r>
          <w:r>
            <w:tab/>
          </w:r>
          <w:r>
            <w:fldChar w:fldCharType="begin"/>
          </w:r>
          <w:r>
            <w:instrText xml:space="preserve"> PAGEREF _Toc52888930 \h </w:instrText>
          </w:r>
          <w:r>
            <w:fldChar w:fldCharType="separate"/>
          </w:r>
          <w:r>
            <w:t>8</w:t>
          </w:r>
          <w:r>
            <w:fldChar w:fldCharType="end"/>
          </w:r>
          <w:r>
            <w:fldChar w:fldCharType="end"/>
          </w:r>
        </w:p>
        <w:p>
          <w:pPr>
            <w:pStyle w:val="10"/>
            <w:tabs>
              <w:tab w:val="left" w:pos="1682"/>
              <w:tab w:val="right" w:leader="dot" w:pos="9174"/>
            </w:tabs>
            <w:rPr>
              <w:rFonts w:asciiTheme="minorHAnsi" w:hAnsiTheme="minorHAnsi" w:eastAsiaTheme="minorEastAsia" w:cstheme="minorBidi"/>
            </w:rPr>
          </w:pPr>
          <w:r>
            <w:fldChar w:fldCharType="begin"/>
          </w:r>
          <w:r>
            <w:instrText xml:space="preserve"> HYPERLINK \l "_Toc52888931" </w:instrText>
          </w:r>
          <w:r>
            <w:fldChar w:fldCharType="separate"/>
          </w:r>
          <w:r>
            <w:rPr>
              <w:rStyle w:val="24"/>
              <w:b/>
            </w:rPr>
            <w:t>十二、</w:t>
          </w:r>
          <w:r>
            <w:rPr>
              <w:rFonts w:asciiTheme="minorHAnsi" w:hAnsiTheme="minorHAnsi" w:eastAsiaTheme="minorEastAsia" w:cstheme="minorBidi"/>
            </w:rPr>
            <w:tab/>
          </w:r>
          <w:r>
            <w:rPr>
              <w:rStyle w:val="24"/>
              <w:rFonts w:ascii="宋体" w:hAnsi="宋体"/>
              <w:b/>
            </w:rPr>
            <w:t>投标保证金</w:t>
          </w:r>
          <w:r>
            <w:tab/>
          </w:r>
          <w:r>
            <w:fldChar w:fldCharType="begin"/>
          </w:r>
          <w:r>
            <w:instrText xml:space="preserve"> PAGEREF _Toc52888931 \h </w:instrText>
          </w:r>
          <w:r>
            <w:fldChar w:fldCharType="separate"/>
          </w:r>
          <w:r>
            <w:t>8</w:t>
          </w:r>
          <w:r>
            <w:fldChar w:fldCharType="end"/>
          </w:r>
          <w:r>
            <w:fldChar w:fldCharType="end"/>
          </w:r>
        </w:p>
        <w:p>
          <w:pPr>
            <w:pStyle w:val="10"/>
            <w:tabs>
              <w:tab w:val="left" w:pos="1682"/>
              <w:tab w:val="right" w:leader="dot" w:pos="9174"/>
            </w:tabs>
            <w:rPr>
              <w:rFonts w:asciiTheme="minorHAnsi" w:hAnsiTheme="minorHAnsi" w:eastAsiaTheme="minorEastAsia" w:cstheme="minorBidi"/>
            </w:rPr>
          </w:pPr>
          <w:r>
            <w:fldChar w:fldCharType="begin"/>
          </w:r>
          <w:r>
            <w:instrText xml:space="preserve"> HYPERLINK \l "_Toc52888932" </w:instrText>
          </w:r>
          <w:r>
            <w:fldChar w:fldCharType="separate"/>
          </w:r>
          <w:r>
            <w:rPr>
              <w:rStyle w:val="24"/>
              <w:b/>
            </w:rPr>
            <w:t>十三、</w:t>
          </w:r>
          <w:r>
            <w:rPr>
              <w:rFonts w:asciiTheme="minorHAnsi" w:hAnsiTheme="minorHAnsi" w:eastAsiaTheme="minorEastAsia" w:cstheme="minorBidi"/>
            </w:rPr>
            <w:tab/>
          </w:r>
          <w:r>
            <w:rPr>
              <w:rStyle w:val="24"/>
              <w:rFonts w:ascii="宋体" w:hAnsi="宋体"/>
              <w:b/>
            </w:rPr>
            <w:t>合同签订</w:t>
          </w:r>
          <w:r>
            <w:tab/>
          </w:r>
          <w:r>
            <w:fldChar w:fldCharType="begin"/>
          </w:r>
          <w:r>
            <w:instrText xml:space="preserve"> PAGEREF _Toc52888932 \h </w:instrText>
          </w:r>
          <w:r>
            <w:fldChar w:fldCharType="separate"/>
          </w:r>
          <w:r>
            <w:t>8</w:t>
          </w:r>
          <w:r>
            <w:fldChar w:fldCharType="end"/>
          </w:r>
          <w:r>
            <w:fldChar w:fldCharType="end"/>
          </w:r>
        </w:p>
        <w:p>
          <w:pPr>
            <w:pStyle w:val="10"/>
            <w:tabs>
              <w:tab w:val="left" w:pos="1682"/>
              <w:tab w:val="right" w:leader="dot" w:pos="9174"/>
            </w:tabs>
            <w:rPr>
              <w:rFonts w:asciiTheme="minorHAnsi" w:hAnsiTheme="minorHAnsi" w:eastAsiaTheme="minorEastAsia" w:cstheme="minorBidi"/>
            </w:rPr>
          </w:pPr>
          <w:r>
            <w:fldChar w:fldCharType="begin"/>
          </w:r>
          <w:r>
            <w:instrText xml:space="preserve"> HYPERLINK \l "_Toc52888933" </w:instrText>
          </w:r>
          <w:r>
            <w:fldChar w:fldCharType="separate"/>
          </w:r>
          <w:r>
            <w:rPr>
              <w:rStyle w:val="24"/>
              <w:b/>
            </w:rPr>
            <w:t>十四、</w:t>
          </w:r>
          <w:r>
            <w:rPr>
              <w:rFonts w:asciiTheme="minorHAnsi" w:hAnsiTheme="minorHAnsi" w:eastAsiaTheme="minorEastAsia" w:cstheme="minorBidi"/>
            </w:rPr>
            <w:tab/>
          </w:r>
          <w:r>
            <w:rPr>
              <w:rStyle w:val="24"/>
              <w:rFonts w:ascii="宋体" w:hAnsi="宋体"/>
              <w:b/>
            </w:rPr>
            <w:t>其它说明</w:t>
          </w:r>
          <w:r>
            <w:tab/>
          </w:r>
          <w:r>
            <w:fldChar w:fldCharType="begin"/>
          </w:r>
          <w:r>
            <w:instrText xml:space="preserve"> PAGEREF _Toc52888933 \h </w:instrText>
          </w:r>
          <w:r>
            <w:fldChar w:fldCharType="separate"/>
          </w:r>
          <w:r>
            <w:t>8</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"_Toc52888934" </w:instrText>
          </w:r>
          <w:r>
            <w:fldChar w:fldCharType="separate"/>
          </w:r>
          <w:r>
            <w:rPr>
              <w:rStyle w:val="24"/>
            </w:rPr>
            <w:t>第二章  招标流程及原则</w:t>
          </w:r>
          <w:r>
            <w:tab/>
          </w:r>
          <w:r>
            <w:fldChar w:fldCharType="begin"/>
          </w:r>
          <w:r>
            <w:instrText xml:space="preserve"> PAGEREF _Toc52888934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"_Toc52888935" </w:instrText>
          </w:r>
          <w:r>
            <w:fldChar w:fldCharType="separate"/>
          </w:r>
          <w:r>
            <w:rPr>
              <w:rStyle w:val="24"/>
              <w:b/>
            </w:rPr>
            <w:t>一、</w:t>
          </w:r>
          <w:r>
            <w:rPr>
              <w:rFonts w:asciiTheme="minorHAnsi" w:hAnsiTheme="minorHAnsi" w:eastAsiaTheme="minorEastAsia" w:cstheme="minorBidi"/>
            </w:rPr>
            <w:tab/>
          </w:r>
          <w:r>
            <w:rPr>
              <w:rStyle w:val="24"/>
              <w:rFonts w:ascii="宋体" w:hAnsi="宋体"/>
              <w:b/>
            </w:rPr>
            <w:t>发标及现场踏勘</w:t>
          </w:r>
          <w:r>
            <w:tab/>
          </w:r>
          <w:r>
            <w:fldChar w:fldCharType="begin"/>
          </w:r>
          <w:r>
            <w:instrText xml:space="preserve"> PAGEREF _Toc52888935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"_Toc52888936" </w:instrText>
          </w:r>
          <w:r>
            <w:fldChar w:fldCharType="separate"/>
          </w:r>
          <w:r>
            <w:rPr>
              <w:rStyle w:val="24"/>
              <w:b/>
            </w:rPr>
            <w:t>二、</w:t>
          </w:r>
          <w:r>
            <w:rPr>
              <w:rFonts w:asciiTheme="minorHAnsi" w:hAnsiTheme="minorHAnsi" w:eastAsiaTheme="minorEastAsia" w:cstheme="minorBidi"/>
            </w:rPr>
            <w:tab/>
          </w:r>
          <w:r>
            <w:rPr>
              <w:rStyle w:val="24"/>
              <w:rFonts w:ascii="宋体" w:hAnsi="宋体"/>
              <w:b/>
            </w:rPr>
            <w:t>招标答疑</w:t>
          </w:r>
          <w:r>
            <w:tab/>
          </w:r>
          <w:r>
            <w:fldChar w:fldCharType="begin"/>
          </w:r>
          <w:r>
            <w:instrText xml:space="preserve"> PAGEREF _Toc52888936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"_Toc52888937" </w:instrText>
          </w:r>
          <w:r>
            <w:fldChar w:fldCharType="separate"/>
          </w:r>
          <w:r>
            <w:rPr>
              <w:rStyle w:val="24"/>
              <w:b/>
            </w:rPr>
            <w:t>三、</w:t>
          </w:r>
          <w:r>
            <w:rPr>
              <w:rFonts w:asciiTheme="minorHAnsi" w:hAnsiTheme="minorHAnsi" w:eastAsiaTheme="minorEastAsia" w:cstheme="minorBidi"/>
            </w:rPr>
            <w:tab/>
          </w:r>
          <w:r>
            <w:rPr>
              <w:rStyle w:val="24"/>
              <w:rFonts w:ascii="宋体" w:hAnsi="宋体"/>
              <w:b/>
            </w:rPr>
            <w:t>评标、定标及询标</w:t>
          </w:r>
          <w:r>
            <w:tab/>
          </w:r>
          <w:r>
            <w:fldChar w:fldCharType="begin"/>
          </w:r>
          <w:r>
            <w:instrText xml:space="preserve"> PAGEREF _Toc52888937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"_Toc52888938" </w:instrText>
          </w:r>
          <w:r>
            <w:fldChar w:fldCharType="separate"/>
          </w:r>
          <w:r>
            <w:rPr>
              <w:rStyle w:val="24"/>
              <w:b/>
            </w:rPr>
            <w:t>四、</w:t>
          </w:r>
          <w:r>
            <w:rPr>
              <w:rFonts w:asciiTheme="minorHAnsi" w:hAnsiTheme="minorHAnsi" w:eastAsiaTheme="minorEastAsia" w:cstheme="minorBidi"/>
            </w:rPr>
            <w:tab/>
          </w:r>
          <w:r>
            <w:rPr>
              <w:rStyle w:val="24"/>
              <w:rFonts w:ascii="宋体" w:hAnsi="宋体"/>
              <w:b/>
            </w:rPr>
            <w:t>中标通知书</w:t>
          </w:r>
          <w:r>
            <w:tab/>
          </w:r>
          <w:r>
            <w:fldChar w:fldCharType="begin"/>
          </w:r>
          <w:r>
            <w:instrText xml:space="preserve"> PAGEREF _Toc52888938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"_Toc52888939" </w:instrText>
          </w:r>
          <w:r>
            <w:fldChar w:fldCharType="separate"/>
          </w:r>
          <w:r>
            <w:rPr>
              <w:rStyle w:val="24"/>
              <w:b/>
            </w:rPr>
            <w:t>五、</w:t>
          </w:r>
          <w:r>
            <w:rPr>
              <w:rFonts w:asciiTheme="minorHAnsi" w:hAnsiTheme="minorHAnsi" w:eastAsiaTheme="minorEastAsia" w:cstheme="minorBidi"/>
            </w:rPr>
            <w:tab/>
          </w:r>
          <w:r>
            <w:rPr>
              <w:rStyle w:val="24"/>
              <w:rFonts w:ascii="宋体" w:hAnsi="宋体"/>
              <w:b/>
            </w:rPr>
            <w:t>下列情况之一者评为废标</w:t>
          </w:r>
          <w:r>
            <w:tab/>
          </w:r>
          <w:r>
            <w:fldChar w:fldCharType="begin"/>
          </w:r>
          <w:r>
            <w:instrText xml:space="preserve"> PAGEREF _Toc52888939 \h </w:instrText>
          </w:r>
          <w:r>
            <w:fldChar w:fldCharType="separate"/>
          </w:r>
          <w:r>
            <w:t>9</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"_Toc52888940" </w:instrText>
          </w:r>
          <w:r>
            <w:fldChar w:fldCharType="separate"/>
          </w:r>
          <w:r>
            <w:rPr>
              <w:rStyle w:val="24"/>
              <w:b/>
            </w:rPr>
            <w:t>六、</w:t>
          </w:r>
          <w:r>
            <w:rPr>
              <w:rFonts w:asciiTheme="minorHAnsi" w:hAnsiTheme="minorHAnsi" w:eastAsiaTheme="minorEastAsia" w:cstheme="minorBidi"/>
            </w:rPr>
            <w:tab/>
          </w:r>
          <w:r>
            <w:rPr>
              <w:rStyle w:val="24"/>
              <w:rFonts w:ascii="宋体" w:hAnsi="宋体"/>
              <w:b/>
            </w:rPr>
            <w:t>有下列情况之一者，招标人将没收投标人的投标保证金，将不再邀请参加兴发集团的招标活动：</w:t>
          </w:r>
          <w:r>
            <w:tab/>
          </w:r>
          <w:r>
            <w:fldChar w:fldCharType="begin"/>
          </w:r>
          <w:r>
            <w:instrText xml:space="preserve"> PAGEREF _Toc52888940 \h </w:instrText>
          </w:r>
          <w:r>
            <w:fldChar w:fldCharType="separate"/>
          </w:r>
          <w:r>
            <w:t>10</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"_Toc52888941" </w:instrText>
          </w:r>
          <w:r>
            <w:fldChar w:fldCharType="separate"/>
          </w:r>
          <w:r>
            <w:rPr>
              <w:rStyle w:val="24"/>
              <w:b/>
            </w:rPr>
            <w:t>七、</w:t>
          </w:r>
          <w:r>
            <w:rPr>
              <w:rFonts w:asciiTheme="minorHAnsi" w:hAnsiTheme="minorHAnsi" w:eastAsiaTheme="minorEastAsia" w:cstheme="minorBidi"/>
            </w:rPr>
            <w:tab/>
          </w:r>
          <w:r>
            <w:rPr>
              <w:rStyle w:val="24"/>
              <w:rFonts w:cs="宋体"/>
            </w:rPr>
            <w:t>其他说明：招标方对本次招标全程拥有全权和最终解释权。</w:t>
          </w:r>
          <w:r>
            <w:tab/>
          </w:r>
          <w:r>
            <w:fldChar w:fldCharType="begin"/>
          </w:r>
          <w:r>
            <w:instrText xml:space="preserve"> PAGEREF _Toc52888941 \h </w:instrText>
          </w:r>
          <w:r>
            <w:fldChar w:fldCharType="separate"/>
          </w:r>
          <w:r>
            <w:t>10</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"_Toc52888942" </w:instrText>
          </w:r>
          <w:r>
            <w:fldChar w:fldCharType="separate"/>
          </w:r>
          <w:r>
            <w:rPr>
              <w:rStyle w:val="24"/>
              <w:rFonts w:ascii="宋体" w:hAnsi="宋体"/>
              <w:b/>
              <w:bCs/>
            </w:rPr>
            <w:t>第三章  招标范围、产品技术规范及报价说明</w:t>
          </w:r>
          <w:r>
            <w:tab/>
          </w:r>
          <w:r>
            <w:fldChar w:fldCharType="begin"/>
          </w:r>
          <w:r>
            <w:instrText xml:space="preserve"> PAGEREF _Toc52888942 \h </w:instrText>
          </w:r>
          <w:r>
            <w:fldChar w:fldCharType="separate"/>
          </w:r>
          <w:r>
            <w:t>11</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"_Toc52888943" </w:instrText>
          </w:r>
          <w:r>
            <w:fldChar w:fldCharType="separate"/>
          </w:r>
          <w:r>
            <w:rPr>
              <w:rStyle w:val="24"/>
              <w:b/>
            </w:rPr>
            <w:t>一、</w:t>
          </w:r>
          <w:r>
            <w:rPr>
              <w:rFonts w:asciiTheme="minorHAnsi" w:hAnsiTheme="minorHAnsi" w:eastAsiaTheme="minorEastAsia" w:cstheme="minorBidi"/>
            </w:rPr>
            <w:tab/>
          </w:r>
          <w:r>
            <w:rPr>
              <w:rStyle w:val="24"/>
              <w:rFonts w:ascii="宋体" w:hAnsi="宋体"/>
              <w:b/>
            </w:rPr>
            <w:t>招标范围</w:t>
          </w:r>
          <w:r>
            <w:tab/>
          </w:r>
          <w:r>
            <w:fldChar w:fldCharType="begin"/>
          </w:r>
          <w:r>
            <w:instrText xml:space="preserve"> PAGEREF _Toc52888943 \h </w:instrText>
          </w:r>
          <w:r>
            <w:fldChar w:fldCharType="separate"/>
          </w:r>
          <w:r>
            <w:t>11</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"_Toc52888944" </w:instrText>
          </w:r>
          <w:r>
            <w:fldChar w:fldCharType="separate"/>
          </w:r>
          <w:r>
            <w:rPr>
              <w:rStyle w:val="24"/>
              <w:b/>
            </w:rPr>
            <w:t>二、</w:t>
          </w:r>
          <w:r>
            <w:rPr>
              <w:rFonts w:asciiTheme="minorHAnsi" w:hAnsiTheme="minorHAnsi" w:eastAsiaTheme="minorEastAsia" w:cstheme="minorBidi"/>
            </w:rPr>
            <w:tab/>
          </w:r>
          <w:r>
            <w:rPr>
              <w:rStyle w:val="24"/>
              <w:rFonts w:ascii="宋体" w:hAnsi="宋体"/>
              <w:b/>
            </w:rPr>
            <w:t>承包方式</w:t>
          </w:r>
          <w:r>
            <w:tab/>
          </w:r>
          <w:r>
            <w:fldChar w:fldCharType="begin"/>
          </w:r>
          <w:r>
            <w:instrText xml:space="preserve"> PAGEREF _Toc52888944 \h </w:instrText>
          </w:r>
          <w:r>
            <w:fldChar w:fldCharType="separate"/>
          </w:r>
          <w:r>
            <w:t>11</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"_Toc52888945" </w:instrText>
          </w:r>
          <w:r>
            <w:fldChar w:fldCharType="separate"/>
          </w:r>
          <w:r>
            <w:rPr>
              <w:rStyle w:val="24"/>
              <w:b/>
            </w:rPr>
            <w:t>三、</w:t>
          </w:r>
          <w:r>
            <w:rPr>
              <w:rFonts w:asciiTheme="minorHAnsi" w:hAnsiTheme="minorHAnsi" w:eastAsiaTheme="minorEastAsia" w:cstheme="minorBidi"/>
            </w:rPr>
            <w:tab/>
          </w:r>
          <w:r>
            <w:rPr>
              <w:rStyle w:val="24"/>
              <w:rFonts w:ascii="宋体" w:hAnsi="宋体"/>
              <w:b/>
            </w:rPr>
            <w:t>投标须知</w:t>
          </w:r>
          <w:r>
            <w:tab/>
          </w:r>
          <w:r>
            <w:fldChar w:fldCharType="begin"/>
          </w:r>
          <w:r>
            <w:instrText xml:space="preserve"> PAGEREF _Toc52888945 \h </w:instrText>
          </w:r>
          <w:r>
            <w:fldChar w:fldCharType="separate"/>
          </w:r>
          <w:r>
            <w:t>11</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"_Toc52888946" </w:instrText>
          </w:r>
          <w:r>
            <w:fldChar w:fldCharType="separate"/>
          </w:r>
          <w:r>
            <w:rPr>
              <w:rStyle w:val="24"/>
              <w:b/>
            </w:rPr>
            <w:t>四、</w:t>
          </w:r>
          <w:r>
            <w:rPr>
              <w:rFonts w:asciiTheme="minorHAnsi" w:hAnsiTheme="minorHAnsi" w:eastAsiaTheme="minorEastAsia" w:cstheme="minorBidi"/>
            </w:rPr>
            <w:tab/>
          </w:r>
          <w:r>
            <w:rPr>
              <w:rStyle w:val="24"/>
              <w:rFonts w:ascii="宋体" w:hAnsi="宋体"/>
              <w:b/>
            </w:rPr>
            <w:t>实施规范</w:t>
          </w:r>
          <w:r>
            <w:tab/>
          </w:r>
          <w:r>
            <w:fldChar w:fldCharType="begin"/>
          </w:r>
          <w:r>
            <w:instrText xml:space="preserve"> PAGEREF _Toc52888946 \h </w:instrText>
          </w:r>
          <w:r>
            <w:fldChar w:fldCharType="separate"/>
          </w:r>
          <w:r>
            <w:t>11</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"_Toc52888947" </w:instrText>
          </w:r>
          <w:r>
            <w:fldChar w:fldCharType="separate"/>
          </w:r>
          <w:r>
            <w:rPr>
              <w:rStyle w:val="24"/>
              <w:b/>
            </w:rPr>
            <w:t>五、</w:t>
          </w:r>
          <w:r>
            <w:rPr>
              <w:rFonts w:asciiTheme="minorHAnsi" w:hAnsiTheme="minorHAnsi" w:eastAsiaTheme="minorEastAsia" w:cstheme="minorBidi"/>
            </w:rPr>
            <w:tab/>
          </w:r>
          <w:r>
            <w:rPr>
              <w:rStyle w:val="24"/>
              <w:rFonts w:ascii="宋体" w:hAnsi="宋体"/>
              <w:b/>
            </w:rPr>
            <w:t>报价说明</w:t>
          </w:r>
          <w:r>
            <w:tab/>
          </w:r>
          <w:r>
            <w:fldChar w:fldCharType="begin"/>
          </w:r>
          <w:r>
            <w:instrText xml:space="preserve"> PAGEREF _Toc52888947 \h </w:instrText>
          </w:r>
          <w:r>
            <w:fldChar w:fldCharType="separate"/>
          </w:r>
          <w:r>
            <w:t>11</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"_Toc52888948" </w:instrText>
          </w:r>
          <w:r>
            <w:fldChar w:fldCharType="separate"/>
          </w:r>
          <w:r>
            <w:rPr>
              <w:rStyle w:val="24"/>
              <w:rFonts w:ascii="宋体" w:hAnsi="宋体"/>
              <w:b/>
              <w:bCs/>
            </w:rPr>
            <w:t>第四章  变更及结算</w:t>
          </w:r>
          <w:r>
            <w:tab/>
          </w:r>
          <w:r>
            <w:fldChar w:fldCharType="begin"/>
          </w:r>
          <w:r>
            <w:instrText xml:space="preserve"> PAGEREF _Toc52888948 \h </w:instrText>
          </w:r>
          <w:r>
            <w:fldChar w:fldCharType="separate"/>
          </w:r>
          <w:r>
            <w:t>12</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"_Toc52888949" </w:instrText>
          </w:r>
          <w:r>
            <w:fldChar w:fldCharType="separate"/>
          </w:r>
          <w:r>
            <w:rPr>
              <w:rStyle w:val="24"/>
              <w:rFonts w:ascii="宋体" w:hAnsi="宋体"/>
              <w:b/>
              <w:bCs/>
            </w:rPr>
            <w:t>第五章  双方义务</w:t>
          </w:r>
          <w:r>
            <w:tab/>
          </w:r>
          <w:r>
            <w:fldChar w:fldCharType="begin"/>
          </w:r>
          <w:r>
            <w:instrText xml:space="preserve"> PAGEREF _Toc52888949 \h </w:instrText>
          </w:r>
          <w:r>
            <w:fldChar w:fldCharType="separate"/>
          </w:r>
          <w:r>
            <w:t>15</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"_Toc52888950" </w:instrText>
          </w:r>
          <w:r>
            <w:fldChar w:fldCharType="separate"/>
          </w:r>
          <w:r>
            <w:rPr>
              <w:rStyle w:val="24"/>
              <w:rFonts w:ascii="宋体" w:hAnsi="宋体"/>
              <w:b/>
              <w:bCs/>
            </w:rPr>
            <w:t>第六章  工程质量等要求</w:t>
          </w:r>
          <w:r>
            <w:tab/>
          </w:r>
          <w:r>
            <w:fldChar w:fldCharType="begin"/>
          </w:r>
          <w:r>
            <w:instrText xml:space="preserve"> PAGEREF _Toc52888950 \h </w:instrText>
          </w:r>
          <w:r>
            <w:fldChar w:fldCharType="separate"/>
          </w:r>
          <w:r>
            <w:t>17</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"_Toc52888951" </w:instrText>
          </w:r>
          <w:r>
            <w:fldChar w:fldCharType="separate"/>
          </w:r>
          <w:r>
            <w:rPr>
              <w:rStyle w:val="24"/>
              <w:rFonts w:ascii="宋体" w:hAnsi="宋体"/>
              <w:b/>
              <w:bCs/>
            </w:rPr>
            <w:t>第七章  违约责任</w:t>
          </w:r>
          <w:r>
            <w:tab/>
          </w:r>
          <w:r>
            <w:fldChar w:fldCharType="begin"/>
          </w:r>
          <w:r>
            <w:instrText xml:space="preserve"> PAGEREF _Toc52888951 \h </w:instrText>
          </w:r>
          <w:r>
            <w:fldChar w:fldCharType="separate"/>
          </w:r>
          <w:r>
            <w:t>18</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"_Toc52888952" </w:instrText>
          </w:r>
          <w:r>
            <w:fldChar w:fldCharType="separate"/>
          </w:r>
          <w:r>
            <w:rPr>
              <w:rStyle w:val="24"/>
              <w:rFonts w:ascii="宋体" w:hAnsi="宋体"/>
              <w:b/>
              <w:bCs/>
            </w:rPr>
            <w:t>第八章  合同有效组成文件</w:t>
          </w:r>
          <w:r>
            <w:tab/>
          </w:r>
          <w:r>
            <w:fldChar w:fldCharType="begin"/>
          </w:r>
          <w:r>
            <w:instrText xml:space="preserve"> PAGEREF _Toc52888952 \h </w:instrText>
          </w:r>
          <w:r>
            <w:fldChar w:fldCharType="separate"/>
          </w:r>
          <w:r>
            <w:t>20</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"_Toc52888953" </w:instrText>
          </w:r>
          <w:r>
            <w:fldChar w:fldCharType="separate"/>
          </w:r>
          <w:r>
            <w:rPr>
              <w:rStyle w:val="24"/>
              <w:rFonts w:ascii="宋体" w:hAnsi="宋体"/>
              <w:b/>
              <w:bCs/>
            </w:rPr>
            <w:t>第九章  其他</w:t>
          </w:r>
          <w:r>
            <w:tab/>
          </w:r>
          <w:r>
            <w:fldChar w:fldCharType="begin"/>
          </w:r>
          <w:r>
            <w:instrText xml:space="preserve"> PAGEREF _Toc52888953 \h </w:instrText>
          </w:r>
          <w:r>
            <w:fldChar w:fldCharType="separate"/>
          </w:r>
          <w:r>
            <w:t>21</w:t>
          </w:r>
          <w:r>
            <w:fldChar w:fldCharType="end"/>
          </w:r>
          <w:r>
            <w:fldChar w:fldCharType="end"/>
          </w:r>
        </w:p>
        <w:p>
          <w:pPr>
            <w:pStyle w:val="15"/>
            <w:tabs>
              <w:tab w:val="right" w:leader="dot" w:pos="9174"/>
            </w:tabs>
            <w:rPr>
              <w:rFonts w:asciiTheme="minorHAnsi" w:hAnsiTheme="minorHAnsi" w:eastAsiaTheme="minorEastAsia" w:cstheme="minorBidi"/>
            </w:rPr>
          </w:pPr>
          <w:r>
            <w:fldChar w:fldCharType="begin"/>
          </w:r>
          <w:r>
            <w:instrText xml:space="preserve"> HYPERLINK \l "_Toc52888954" </w:instrText>
          </w:r>
          <w:r>
            <w:fldChar w:fldCharType="separate"/>
          </w:r>
          <w:r>
            <w:rPr>
              <w:rStyle w:val="24"/>
              <w:rFonts w:ascii="宋体" w:hAnsi="宋体"/>
            </w:rPr>
            <w:t>第三部分 技术需求</w:t>
          </w:r>
          <w:r>
            <w:tab/>
          </w:r>
          <w:r>
            <w:fldChar w:fldCharType="begin"/>
          </w:r>
          <w:r>
            <w:instrText xml:space="preserve"> PAGEREF _Toc52888954 \h </w:instrText>
          </w:r>
          <w:r>
            <w:fldChar w:fldCharType="separate"/>
          </w:r>
          <w:r>
            <w:t>22</w:t>
          </w:r>
          <w:r>
            <w:fldChar w:fldCharType="end"/>
          </w:r>
          <w:r>
            <w:fldChar w:fldCharType="end"/>
          </w:r>
        </w:p>
        <w:p>
          <w:pPr>
            <w:pStyle w:val="18"/>
            <w:tabs>
              <w:tab w:val="left" w:pos="1470"/>
              <w:tab w:val="right" w:leader="dot" w:pos="9174"/>
            </w:tabs>
            <w:rPr>
              <w:rFonts w:asciiTheme="minorHAnsi" w:hAnsiTheme="minorHAnsi" w:eastAsiaTheme="minorEastAsia" w:cstheme="minorBidi"/>
            </w:rPr>
          </w:pPr>
          <w:r>
            <w:fldChar w:fldCharType="begin"/>
          </w:r>
          <w:r>
            <w:instrText xml:space="preserve"> HYPERLINK \l "_Toc52888955" </w:instrText>
          </w:r>
          <w:r>
            <w:fldChar w:fldCharType="separate"/>
          </w:r>
          <w:r>
            <w:rPr>
              <w:rStyle w:val="24"/>
            </w:rPr>
            <w:t>第一章</w:t>
          </w:r>
          <w:r>
            <w:rPr>
              <w:rFonts w:asciiTheme="minorHAnsi" w:hAnsiTheme="minorHAnsi" w:eastAsiaTheme="minorEastAsia" w:cstheme="minorBidi"/>
            </w:rPr>
            <w:tab/>
          </w:r>
          <w:r>
            <w:rPr>
              <w:rStyle w:val="24"/>
            </w:rPr>
            <w:t>项目总则</w:t>
          </w:r>
          <w:r>
            <w:tab/>
          </w:r>
          <w:r>
            <w:fldChar w:fldCharType="begin"/>
          </w:r>
          <w:r>
            <w:instrText xml:space="preserve"> PAGEREF _Toc52888955 \h </w:instrText>
          </w:r>
          <w:r>
            <w:fldChar w:fldCharType="separate"/>
          </w:r>
          <w:r>
            <w:t>22</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"_Toc52888956" </w:instrText>
          </w:r>
          <w:r>
            <w:fldChar w:fldCharType="separate"/>
          </w:r>
          <w:r>
            <w:rPr>
              <w:rStyle w:val="24"/>
              <w:rFonts w:ascii="宋体" w:hAnsi="宋体"/>
            </w:rPr>
            <w:t>一、</w:t>
          </w:r>
          <w:r>
            <w:rPr>
              <w:rFonts w:asciiTheme="minorHAnsi" w:hAnsiTheme="minorHAnsi" w:eastAsiaTheme="minorEastAsia" w:cstheme="minorBidi"/>
            </w:rPr>
            <w:tab/>
          </w:r>
          <w:r>
            <w:rPr>
              <w:rStyle w:val="24"/>
              <w:rFonts w:ascii="宋体" w:hAnsi="宋体"/>
              <w:lang w:val="en-GB"/>
            </w:rPr>
            <w:t>工程简介</w:t>
          </w:r>
          <w:r>
            <w:tab/>
          </w:r>
          <w:r>
            <w:fldChar w:fldCharType="begin"/>
          </w:r>
          <w:r>
            <w:instrText xml:space="preserve"> PAGEREF _Toc52888956 \h </w:instrText>
          </w:r>
          <w:r>
            <w:fldChar w:fldCharType="separate"/>
          </w:r>
          <w:r>
            <w:t>22</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"_Toc52888957" </w:instrText>
          </w:r>
          <w:r>
            <w:fldChar w:fldCharType="separate"/>
          </w:r>
          <w:r>
            <w:rPr>
              <w:rStyle w:val="24"/>
            </w:rPr>
            <w:t>二、</w:t>
          </w:r>
          <w:r>
            <w:rPr>
              <w:rFonts w:asciiTheme="minorHAnsi" w:hAnsiTheme="minorHAnsi" w:eastAsiaTheme="minorEastAsia" w:cstheme="minorBidi"/>
            </w:rPr>
            <w:tab/>
          </w:r>
          <w:r>
            <w:rPr>
              <w:rStyle w:val="24"/>
              <w:rFonts w:ascii="宋体" w:hAnsi="宋体"/>
              <w:lang w:val="en-GB"/>
            </w:rPr>
            <w:t>建设目标</w:t>
          </w:r>
          <w:r>
            <w:tab/>
          </w:r>
          <w:r>
            <w:fldChar w:fldCharType="begin"/>
          </w:r>
          <w:r>
            <w:instrText xml:space="preserve"> PAGEREF _Toc52888957 \h </w:instrText>
          </w:r>
          <w:r>
            <w:fldChar w:fldCharType="separate"/>
          </w:r>
          <w:r>
            <w:t>22</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"_Toc52888958" </w:instrText>
          </w:r>
          <w:r>
            <w:fldChar w:fldCharType="separate"/>
          </w:r>
          <w:r>
            <w:rPr>
              <w:rStyle w:val="24"/>
              <w:rFonts w:ascii="宋体" w:hAnsi="宋体"/>
            </w:rPr>
            <w:t>三、</w:t>
          </w:r>
          <w:r>
            <w:rPr>
              <w:rFonts w:asciiTheme="minorHAnsi" w:hAnsiTheme="minorHAnsi" w:eastAsiaTheme="minorEastAsia" w:cstheme="minorBidi"/>
            </w:rPr>
            <w:tab/>
          </w:r>
          <w:r>
            <w:rPr>
              <w:rStyle w:val="24"/>
              <w:rFonts w:ascii="宋体" w:hAnsi="宋体"/>
              <w:lang w:val="en-GB"/>
            </w:rPr>
            <w:t>物理设备资源需求</w:t>
          </w:r>
          <w:r>
            <w:tab/>
          </w:r>
          <w:r>
            <w:fldChar w:fldCharType="begin"/>
          </w:r>
          <w:r>
            <w:instrText xml:space="preserve"> PAGEREF _Toc52888958 \h </w:instrText>
          </w:r>
          <w:r>
            <w:fldChar w:fldCharType="separate"/>
          </w:r>
          <w:r>
            <w:t>24</w:t>
          </w:r>
          <w:r>
            <w:fldChar w:fldCharType="end"/>
          </w:r>
          <w:r>
            <w:fldChar w:fldCharType="end"/>
          </w:r>
        </w:p>
        <w:p>
          <w:pPr>
            <w:pStyle w:val="18"/>
            <w:tabs>
              <w:tab w:val="left" w:pos="1470"/>
              <w:tab w:val="right" w:leader="dot" w:pos="9174"/>
            </w:tabs>
            <w:rPr>
              <w:rFonts w:asciiTheme="minorHAnsi" w:hAnsiTheme="minorHAnsi" w:eastAsiaTheme="minorEastAsia" w:cstheme="minorBidi"/>
            </w:rPr>
          </w:pPr>
          <w:r>
            <w:fldChar w:fldCharType="begin"/>
          </w:r>
          <w:r>
            <w:instrText xml:space="preserve"> HYPERLINK \l "_Toc52888959" </w:instrText>
          </w:r>
          <w:r>
            <w:fldChar w:fldCharType="separate"/>
          </w:r>
          <w:r>
            <w:rPr>
              <w:rStyle w:val="24"/>
            </w:rPr>
            <w:t>第二章</w:t>
          </w:r>
          <w:r>
            <w:rPr>
              <w:rFonts w:asciiTheme="minorHAnsi" w:hAnsiTheme="minorHAnsi" w:eastAsiaTheme="minorEastAsia" w:cstheme="minorBidi"/>
            </w:rPr>
            <w:tab/>
          </w:r>
          <w:r>
            <w:rPr>
              <w:rStyle w:val="24"/>
            </w:rPr>
            <w:t>设备基本技术参数</w:t>
          </w:r>
          <w:r>
            <w:tab/>
          </w:r>
          <w:r>
            <w:fldChar w:fldCharType="begin"/>
          </w:r>
          <w:r>
            <w:instrText xml:space="preserve"> PAGEREF _Toc52888959 \h </w:instrText>
          </w:r>
          <w:r>
            <w:fldChar w:fldCharType="separate"/>
          </w:r>
          <w:r>
            <w:t>25</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"_Toc52888960" </w:instrText>
          </w:r>
          <w:r>
            <w:fldChar w:fldCharType="separate"/>
          </w:r>
          <w:r>
            <w:rPr>
              <w:rStyle w:val="24"/>
              <w:rFonts w:ascii="Arial" w:hAnsi="Arial" w:eastAsia="仿宋体" w:cs="Arial"/>
            </w:rPr>
            <w:t>一、</w:t>
          </w:r>
          <w:r>
            <w:rPr>
              <w:rFonts w:asciiTheme="minorHAnsi" w:hAnsiTheme="minorHAnsi" w:eastAsiaTheme="minorEastAsia" w:cstheme="minorBidi"/>
            </w:rPr>
            <w:tab/>
          </w:r>
          <w:r>
            <w:rPr>
              <w:rStyle w:val="24"/>
              <w:rFonts w:ascii="Arial" w:hAnsi="Arial" w:eastAsia="仿宋体" w:cs="Arial"/>
            </w:rPr>
            <w:t>虚拟化服务器-计算节点（8台）</w:t>
          </w:r>
          <w:r>
            <w:tab/>
          </w:r>
          <w:r>
            <w:fldChar w:fldCharType="begin"/>
          </w:r>
          <w:r>
            <w:instrText xml:space="preserve"> PAGEREF _Toc52888960 \h </w:instrText>
          </w:r>
          <w:r>
            <w:fldChar w:fldCharType="separate"/>
          </w:r>
          <w:r>
            <w:t>25</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"_Toc52888961" </w:instrText>
          </w:r>
          <w:r>
            <w:fldChar w:fldCharType="separate"/>
          </w:r>
          <w:r>
            <w:rPr>
              <w:rStyle w:val="24"/>
              <w:rFonts w:ascii="Arial" w:hAnsi="Arial" w:eastAsia="仿宋体" w:cs="Arial"/>
            </w:rPr>
            <w:t>二、</w:t>
          </w:r>
          <w:r>
            <w:rPr>
              <w:rFonts w:asciiTheme="minorHAnsi" w:hAnsiTheme="minorHAnsi" w:eastAsiaTheme="minorEastAsia" w:cstheme="minorBidi"/>
            </w:rPr>
            <w:tab/>
          </w:r>
          <w:r>
            <w:rPr>
              <w:rStyle w:val="24"/>
              <w:rFonts w:ascii="Arial" w:hAnsi="Arial" w:eastAsia="仿宋体" w:cs="Arial"/>
            </w:rPr>
            <w:t>独立计算与存储设备需求（1套）</w:t>
          </w:r>
          <w:r>
            <w:tab/>
          </w:r>
          <w:r>
            <w:fldChar w:fldCharType="begin"/>
          </w:r>
          <w:r>
            <w:instrText xml:space="preserve"> PAGEREF _Toc52888961 \h </w:instrText>
          </w:r>
          <w:r>
            <w:fldChar w:fldCharType="separate"/>
          </w:r>
          <w:r>
            <w:t>26</w:t>
          </w:r>
          <w:r>
            <w:fldChar w:fldCharType="end"/>
          </w:r>
          <w:r>
            <w:fldChar w:fldCharType="end"/>
          </w:r>
        </w:p>
        <w:p>
          <w:pPr>
            <w:pStyle w:val="10"/>
            <w:tabs>
              <w:tab w:val="left" w:pos="1680"/>
              <w:tab w:val="right" w:leader="dot" w:pos="9174"/>
            </w:tabs>
            <w:rPr>
              <w:rFonts w:asciiTheme="minorHAnsi" w:hAnsiTheme="minorHAnsi" w:eastAsiaTheme="minorEastAsia" w:cstheme="minorBidi"/>
            </w:rPr>
          </w:pPr>
          <w:r>
            <w:fldChar w:fldCharType="begin"/>
          </w:r>
          <w:r>
            <w:instrText xml:space="preserve"> HYPERLINK \l "_Toc52888962" </w:instrText>
          </w:r>
          <w:r>
            <w:fldChar w:fldCharType="separate"/>
          </w:r>
          <w:r>
            <w:rPr>
              <w:rStyle w:val="24"/>
              <w:rFonts w:hAnsi="宋体"/>
            </w:rPr>
            <w:t>三、</w:t>
          </w:r>
          <w:r>
            <w:rPr>
              <w:rFonts w:asciiTheme="minorHAnsi" w:hAnsiTheme="minorHAnsi" w:eastAsiaTheme="minorEastAsia" w:cstheme="minorBidi"/>
            </w:rPr>
            <w:tab/>
          </w:r>
          <w:r>
            <w:rPr>
              <w:rStyle w:val="24"/>
              <w:rFonts w:ascii="宋体" w:hAnsi="宋体"/>
            </w:rPr>
            <w:t>备份系统（1套）</w:t>
          </w:r>
          <w:r>
            <w:tab/>
          </w:r>
          <w:r>
            <w:fldChar w:fldCharType="begin"/>
          </w:r>
          <w:r>
            <w:instrText xml:space="preserve"> PAGEREF _Toc52888962 \h </w:instrText>
          </w:r>
          <w:r>
            <w:fldChar w:fldCharType="separate"/>
          </w:r>
          <w:r>
            <w:t>29</w:t>
          </w:r>
          <w:r>
            <w:fldChar w:fldCharType="end"/>
          </w:r>
          <w:r>
            <w:fldChar w:fldCharType="end"/>
          </w:r>
        </w:p>
        <w:p>
          <w:pPr>
            <w:pStyle w:val="18"/>
            <w:tabs>
              <w:tab w:val="left" w:pos="1470"/>
              <w:tab w:val="right" w:leader="dot" w:pos="9174"/>
            </w:tabs>
            <w:rPr>
              <w:rFonts w:asciiTheme="minorHAnsi" w:hAnsiTheme="minorHAnsi" w:eastAsiaTheme="minorEastAsia" w:cstheme="minorBidi"/>
            </w:rPr>
          </w:pPr>
          <w:r>
            <w:fldChar w:fldCharType="begin"/>
          </w:r>
          <w:r>
            <w:instrText xml:space="preserve"> HYPERLINK \l "_Toc52888963" </w:instrText>
          </w:r>
          <w:r>
            <w:fldChar w:fldCharType="separate"/>
          </w:r>
          <w:r>
            <w:rPr>
              <w:rStyle w:val="24"/>
            </w:rPr>
            <w:t>第三章</w:t>
          </w:r>
          <w:r>
            <w:rPr>
              <w:rFonts w:asciiTheme="minorHAnsi" w:hAnsiTheme="minorHAnsi" w:eastAsiaTheme="minorEastAsia" w:cstheme="minorBidi"/>
            </w:rPr>
            <w:tab/>
          </w:r>
          <w:r>
            <w:rPr>
              <w:rStyle w:val="24"/>
            </w:rPr>
            <w:t>设备清单</w:t>
          </w:r>
          <w:r>
            <w:tab/>
          </w:r>
          <w:r>
            <w:fldChar w:fldCharType="begin"/>
          </w:r>
          <w:r>
            <w:instrText xml:space="preserve"> PAGEREF _Toc52888963 \h </w:instrText>
          </w:r>
          <w:r>
            <w:fldChar w:fldCharType="separate"/>
          </w:r>
          <w:r>
            <w:t>33</w:t>
          </w:r>
          <w:r>
            <w:fldChar w:fldCharType="end"/>
          </w:r>
          <w:r>
            <w:fldChar w:fldCharType="end"/>
          </w:r>
        </w:p>
        <w:p>
          <w:pPr>
            <w:pStyle w:val="15"/>
            <w:tabs>
              <w:tab w:val="right" w:leader="dot" w:pos="9174"/>
            </w:tabs>
            <w:rPr>
              <w:rFonts w:asciiTheme="minorHAnsi" w:hAnsiTheme="minorHAnsi" w:eastAsiaTheme="minorEastAsia" w:cstheme="minorBidi"/>
            </w:rPr>
          </w:pPr>
          <w:r>
            <w:fldChar w:fldCharType="begin"/>
          </w:r>
          <w:r>
            <w:instrText xml:space="preserve"> HYPERLINK \l "_Toc52888964" </w:instrText>
          </w:r>
          <w:r>
            <w:fldChar w:fldCharType="separate"/>
          </w:r>
          <w:r>
            <w:rPr>
              <w:rStyle w:val="24"/>
              <w:rFonts w:ascii="宋体" w:hAnsi="宋体"/>
            </w:rPr>
            <w:t>第四部分 评分体系与标准</w:t>
          </w:r>
          <w:r>
            <w:tab/>
          </w:r>
          <w:r>
            <w:fldChar w:fldCharType="begin"/>
          </w:r>
          <w:r>
            <w:instrText xml:space="preserve"> PAGEREF _Toc52888964 \h </w:instrText>
          </w:r>
          <w:r>
            <w:fldChar w:fldCharType="separate"/>
          </w:r>
          <w:r>
            <w:t>36</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"_Toc52888965" </w:instrText>
          </w:r>
          <w:r>
            <w:fldChar w:fldCharType="separate"/>
          </w:r>
          <w:r>
            <w:rPr>
              <w:rStyle w:val="24"/>
            </w:rPr>
            <w:t>第一章、资格、符合性评审条款</w:t>
          </w:r>
          <w:r>
            <w:tab/>
          </w:r>
          <w:r>
            <w:fldChar w:fldCharType="begin"/>
          </w:r>
          <w:r>
            <w:instrText xml:space="preserve"> PAGEREF _Toc52888965 \h </w:instrText>
          </w:r>
          <w:r>
            <w:fldChar w:fldCharType="separate"/>
          </w:r>
          <w:r>
            <w:t>36</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"_Toc52888966" </w:instrText>
          </w:r>
          <w:r>
            <w:fldChar w:fldCharType="separate"/>
          </w:r>
          <w:r>
            <w:rPr>
              <w:rStyle w:val="24"/>
              <w:rFonts w:ascii="黑体" w:hAnsi="黑体"/>
            </w:rPr>
            <w:t>第二章、 评分标准</w:t>
          </w:r>
          <w:r>
            <w:tab/>
          </w:r>
          <w:r>
            <w:fldChar w:fldCharType="begin"/>
          </w:r>
          <w:r>
            <w:instrText xml:space="preserve"> PAGEREF _Toc52888966 \h </w:instrText>
          </w:r>
          <w:r>
            <w:fldChar w:fldCharType="separate"/>
          </w:r>
          <w:r>
            <w:t>37</w:t>
          </w:r>
          <w:r>
            <w:fldChar w:fldCharType="end"/>
          </w:r>
          <w:r>
            <w:fldChar w:fldCharType="end"/>
          </w:r>
        </w:p>
        <w:p>
          <w:pPr>
            <w:pStyle w:val="15"/>
            <w:tabs>
              <w:tab w:val="right" w:leader="dot" w:pos="9174"/>
            </w:tabs>
            <w:rPr>
              <w:rFonts w:asciiTheme="minorHAnsi" w:hAnsiTheme="minorHAnsi" w:eastAsiaTheme="minorEastAsia" w:cstheme="minorBidi"/>
            </w:rPr>
          </w:pPr>
          <w:r>
            <w:fldChar w:fldCharType="begin"/>
          </w:r>
          <w:r>
            <w:instrText xml:space="preserve"> HYPERLINK \l "_Toc52888967" </w:instrText>
          </w:r>
          <w:r>
            <w:fldChar w:fldCharType="separate"/>
          </w:r>
          <w:r>
            <w:rPr>
              <w:rStyle w:val="24"/>
              <w:rFonts w:ascii="宋体" w:hAnsi="宋体"/>
            </w:rPr>
            <w:t>第五部分  招标文件附件</w:t>
          </w:r>
          <w:r>
            <w:tab/>
          </w:r>
          <w:r>
            <w:fldChar w:fldCharType="begin"/>
          </w:r>
          <w:r>
            <w:instrText xml:space="preserve"> PAGEREF _Toc52888967 \h </w:instrText>
          </w:r>
          <w:r>
            <w:fldChar w:fldCharType="separate"/>
          </w:r>
          <w:r>
            <w:t>40</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"_Toc52888968" </w:instrText>
          </w:r>
          <w:r>
            <w:fldChar w:fldCharType="separate"/>
          </w:r>
          <w:r>
            <w:rPr>
              <w:rStyle w:val="24"/>
            </w:rPr>
            <w:t>附件1：投标文件封面格式（商务标）</w:t>
          </w:r>
          <w:r>
            <w:tab/>
          </w:r>
          <w:r>
            <w:fldChar w:fldCharType="begin"/>
          </w:r>
          <w:r>
            <w:instrText xml:space="preserve"> PAGEREF _Toc52888968 \h </w:instrText>
          </w:r>
          <w:r>
            <w:fldChar w:fldCharType="separate"/>
          </w:r>
          <w:r>
            <w:t>41</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"_Toc52888969" </w:instrText>
          </w:r>
          <w:r>
            <w:fldChar w:fldCharType="separate"/>
          </w:r>
          <w:r>
            <w:rPr>
              <w:rStyle w:val="24"/>
            </w:rPr>
            <w:t>附件2：投标文件封面格式（技术标）</w:t>
          </w:r>
          <w:r>
            <w:tab/>
          </w:r>
          <w:r>
            <w:fldChar w:fldCharType="begin"/>
          </w:r>
          <w:r>
            <w:instrText xml:space="preserve"> PAGEREF _Toc52888969 \h </w:instrText>
          </w:r>
          <w:r>
            <w:fldChar w:fldCharType="separate"/>
          </w:r>
          <w:r>
            <w:t>42</w:t>
          </w:r>
          <w:r>
            <w:fldChar w:fldCharType="end"/>
          </w:r>
          <w:r>
            <w:fldChar w:fldCharType="end"/>
          </w:r>
        </w:p>
        <w:p>
          <w:pPr>
            <w:pStyle w:val="18"/>
            <w:tabs>
              <w:tab w:val="right" w:leader="dot" w:pos="9174"/>
            </w:tabs>
            <w:rPr>
              <w:rFonts w:asciiTheme="minorHAnsi" w:hAnsiTheme="minorHAnsi" w:eastAsiaTheme="minorEastAsia" w:cstheme="minorBidi"/>
            </w:rPr>
          </w:pPr>
          <w:r>
            <w:fldChar w:fldCharType="begin"/>
          </w:r>
          <w:r>
            <w:instrText xml:space="preserve"> HYPERLINK \l "_Toc52888970" </w:instrText>
          </w:r>
          <w:r>
            <w:fldChar w:fldCharType="separate"/>
          </w:r>
          <w:r>
            <w:rPr>
              <w:rStyle w:val="24"/>
            </w:rPr>
            <w:t>附件3：投 标 书</w:t>
          </w:r>
          <w:r>
            <w:tab/>
          </w:r>
          <w:r>
            <w:fldChar w:fldCharType="begin"/>
          </w:r>
          <w:r>
            <w:instrText xml:space="preserve"> PAGEREF _Toc52888970 \h </w:instrText>
          </w:r>
          <w:r>
            <w:fldChar w:fldCharType="separate"/>
          </w:r>
          <w:r>
            <w:t>43</w:t>
          </w:r>
          <w:r>
            <w:fldChar w:fldCharType="end"/>
          </w:r>
          <w:r>
            <w:fldChar w:fldCharType="end"/>
          </w:r>
        </w:p>
        <w:p>
          <w:r>
            <w:rPr>
              <w:bCs/>
              <w:lang w:val="zh-CN"/>
            </w:rPr>
            <w:fldChar w:fldCharType="end"/>
          </w:r>
        </w:p>
      </w:sdtContent>
    </w:sdt>
    <w:p/>
    <w:p/>
    <w:p/>
    <w:p>
      <w:pPr>
        <w:sectPr>
          <w:footerReference r:id="rId3" w:type="default"/>
          <w:pgSz w:w="11906" w:h="16838"/>
          <w:pgMar w:top="1361" w:right="1361" w:bottom="1361" w:left="1361" w:header="851" w:footer="992" w:gutter="0"/>
          <w:pgBorders>
            <w:top w:val="single" w:color="FFFFFF" w:themeColor="background1" w:sz="4" w:space="1"/>
            <w:left w:val="single" w:color="FFFFFF" w:themeColor="background1" w:sz="4" w:space="4"/>
            <w:bottom w:val="single" w:color="FFFFFF" w:themeColor="background1" w:sz="4" w:space="1"/>
            <w:right w:val="single" w:color="FFFFFF" w:themeColor="background1" w:sz="4" w:space="4"/>
          </w:pgBorders>
          <w:pgNumType w:start="1"/>
          <w:cols w:space="720" w:num="1"/>
          <w:docGrid w:type="lines" w:linePitch="312" w:charSpace="0"/>
        </w:sectPr>
      </w:pPr>
    </w:p>
    <w:p>
      <w:pPr>
        <w:pStyle w:val="3"/>
        <w:keepNext w:val="0"/>
        <w:keepLines w:val="0"/>
        <w:pageBreakBefore/>
        <w:spacing w:line="360" w:lineRule="auto"/>
        <w:jc w:val="center"/>
        <w:rPr>
          <w:rFonts w:ascii="宋体" w:hAnsi="宋体"/>
          <w:sz w:val="30"/>
          <w:szCs w:val="30"/>
        </w:rPr>
      </w:pPr>
      <w:bookmarkStart w:id="0" w:name="_Toc25860343"/>
      <w:bookmarkStart w:id="1" w:name="_Toc23259158"/>
      <w:bookmarkStart w:id="2" w:name="_Toc23259358"/>
      <w:bookmarkStart w:id="3" w:name="_Toc52888917"/>
      <w:bookmarkStart w:id="4" w:name="_Toc9843"/>
      <w:bookmarkStart w:id="5" w:name="_Toc14506"/>
      <w:r>
        <w:rPr>
          <w:rFonts w:hint="eastAsia" w:ascii="宋体" w:hAnsi="宋体"/>
          <w:sz w:val="30"/>
          <w:szCs w:val="30"/>
        </w:rPr>
        <w:t>第一部分投标邀请函</w:t>
      </w:r>
      <w:bookmarkEnd w:id="0"/>
      <w:bookmarkEnd w:id="1"/>
      <w:bookmarkEnd w:id="2"/>
      <w:bookmarkEnd w:id="3"/>
      <w:bookmarkEnd w:id="4"/>
      <w:bookmarkEnd w:id="5"/>
    </w:p>
    <w:p>
      <w:pPr>
        <w:kinsoku w:val="0"/>
        <w:overflowPunct w:val="0"/>
        <w:spacing w:before="140" w:line="360" w:lineRule="auto"/>
        <w:ind w:left="143"/>
      </w:pPr>
      <w:r>
        <w:rPr>
          <w:rFonts w:hint="eastAsia"/>
        </w:rPr>
        <w:t>广东兴发铝业有限公司</w:t>
      </w:r>
      <w:r>
        <w:t>就以下项目邀请招标，诚邀合格的投标方参加投标。</w:t>
      </w:r>
    </w:p>
    <w:p>
      <w:pPr>
        <w:pStyle w:val="60"/>
        <w:numPr>
          <w:ilvl w:val="0"/>
          <w:numId w:val="6"/>
        </w:numPr>
        <w:kinsoku w:val="0"/>
        <w:overflowPunct w:val="0"/>
        <w:spacing w:before="158" w:line="360" w:lineRule="auto"/>
        <w:ind w:right="-120" w:firstLineChars="0"/>
      </w:pPr>
      <w:r>
        <w:t>项目名称：</w:t>
      </w:r>
      <w:r>
        <w:rPr>
          <w:rFonts w:hint="eastAsia"/>
        </w:rPr>
        <w:t>兴发铝业数据中心建设项目硬件部分（服务器、备份设备）</w:t>
      </w:r>
    </w:p>
    <w:p>
      <w:pPr>
        <w:pStyle w:val="60"/>
        <w:numPr>
          <w:ilvl w:val="0"/>
          <w:numId w:val="6"/>
        </w:numPr>
        <w:kinsoku w:val="0"/>
        <w:overflowPunct w:val="0"/>
        <w:spacing w:before="158" w:line="360" w:lineRule="auto"/>
        <w:ind w:right="-120" w:firstLineChars="0"/>
      </w:pPr>
      <w:r>
        <w:t>项目编号：IT-202010-001</w:t>
      </w:r>
    </w:p>
    <w:p>
      <w:pPr>
        <w:pStyle w:val="60"/>
        <w:numPr>
          <w:ilvl w:val="0"/>
          <w:numId w:val="6"/>
        </w:numPr>
        <w:kinsoku w:val="0"/>
        <w:overflowPunct w:val="0"/>
        <w:spacing w:before="158" w:line="360" w:lineRule="auto"/>
        <w:ind w:right="-120" w:firstLineChars="0"/>
      </w:pPr>
      <w:r>
        <w:t>项目类别：</w:t>
      </w:r>
      <w:r>
        <w:rPr>
          <w:rFonts w:hint="eastAsia"/>
        </w:rPr>
        <w:t>IT信息化采购类</w:t>
      </w:r>
    </w:p>
    <w:p>
      <w:pPr>
        <w:pStyle w:val="60"/>
        <w:numPr>
          <w:ilvl w:val="0"/>
          <w:numId w:val="6"/>
        </w:numPr>
        <w:kinsoku w:val="0"/>
        <w:overflowPunct w:val="0"/>
        <w:spacing w:before="158" w:line="360" w:lineRule="auto"/>
        <w:ind w:right="-120" w:firstLineChars="0"/>
      </w:pPr>
      <w:r>
        <w:t>实施周期、招标项目的性质及要求</w:t>
      </w:r>
    </w:p>
    <w:p>
      <w:pPr>
        <w:pStyle w:val="2"/>
        <w:kinsoku w:val="0"/>
        <w:overflowPunct w:val="0"/>
        <w:spacing w:line="360" w:lineRule="auto"/>
        <w:ind w:left="661" w:leftChars="165" w:right="244" w:hanging="315" w:hangingChars="150"/>
        <w:rPr>
          <w:rFonts w:ascii="Times New Roman" w:cs="Times New Roman"/>
        </w:rPr>
      </w:pPr>
      <w:r>
        <w:rPr>
          <w:rFonts w:ascii="Times New Roman" w:cs="Times New Roman"/>
        </w:rPr>
        <w:t>1.实施周期：30</w:t>
      </w:r>
      <w:r>
        <w:rPr>
          <w:rFonts w:hint="eastAsia" w:ascii="Times New Roman" w:cs="Times New Roman"/>
        </w:rPr>
        <w:t>个工作日</w:t>
      </w:r>
    </w:p>
    <w:p>
      <w:pPr>
        <w:pStyle w:val="2"/>
        <w:kinsoku w:val="0"/>
        <w:overflowPunct w:val="0"/>
        <w:spacing w:line="360" w:lineRule="auto"/>
        <w:ind w:left="124" w:leftChars="59" w:right="244" w:firstLine="210" w:firstLineChars="100"/>
        <w:rPr>
          <w:rFonts w:hAnsi="宋体"/>
          <w:w w:val="115"/>
          <w:szCs w:val="21"/>
        </w:rPr>
      </w:pPr>
      <w:r>
        <w:rPr>
          <w:rFonts w:ascii="Times New Roman" w:cs="Times New Roman"/>
        </w:rPr>
        <w:t>2.实施地点：</w:t>
      </w:r>
      <w:r>
        <w:rPr>
          <w:rFonts w:hint="eastAsia" w:ascii="Times New Roman" w:cs="Times New Roman"/>
        </w:rPr>
        <w:t>广东省佛山市禅城区南庄镇季华西路125号</w:t>
      </w:r>
      <w:r>
        <w:rPr>
          <w:rFonts w:hint="eastAsia" w:hAnsi="宋体"/>
          <w:w w:val="115"/>
          <w:szCs w:val="21"/>
        </w:rPr>
        <w:t>兴发大厦2号楼5楼511、512室</w:t>
      </w:r>
    </w:p>
    <w:p>
      <w:pPr>
        <w:pStyle w:val="2"/>
        <w:kinsoku w:val="0"/>
        <w:overflowPunct w:val="0"/>
        <w:spacing w:line="360" w:lineRule="auto"/>
        <w:ind w:left="124" w:leftChars="59" w:right="244" w:firstLine="210" w:firstLineChars="100"/>
        <w:rPr>
          <w:rFonts w:ascii="Times New Roman" w:cs="Times New Roman"/>
        </w:rPr>
      </w:pPr>
      <w:r>
        <w:rPr>
          <w:rFonts w:ascii="Times New Roman" w:cs="Times New Roman"/>
        </w:rPr>
        <w:t>3.招标项目的性质及要求：</w:t>
      </w:r>
    </w:p>
    <w:p>
      <w:pPr>
        <w:pStyle w:val="2"/>
        <w:numPr>
          <w:ilvl w:val="0"/>
          <w:numId w:val="7"/>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投标方承包及负责招标文件对投标方要求的一切事宜及责任。包括项目实施方案、安装、开发、调试、验收、培训、相关部门验收及免费维护期内相关服务等；</w:t>
      </w:r>
    </w:p>
    <w:p>
      <w:pPr>
        <w:pStyle w:val="2"/>
        <w:numPr>
          <w:ilvl w:val="0"/>
          <w:numId w:val="7"/>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招标项目的性质及要求：根据招标方提供的技术要求提供详细的可行性的实施方案，且要提供完整的技术方案资料，并完成知识转移；（详见用户需求书）；</w:t>
      </w:r>
    </w:p>
    <w:p>
      <w:pPr>
        <w:pStyle w:val="2"/>
        <w:numPr>
          <w:ilvl w:val="0"/>
          <w:numId w:val="7"/>
        </w:numPr>
        <w:tabs>
          <w:tab w:val="left" w:pos="312"/>
        </w:tabs>
        <w:kinsoku w:val="0"/>
        <w:overflowPunct w:val="0"/>
        <w:spacing w:line="360" w:lineRule="auto"/>
        <w:ind w:right="244" w:firstLine="0"/>
        <w:rPr>
          <w:rFonts w:ascii="Times New Roman" w:cs="Times New Roman"/>
        </w:rPr>
      </w:pPr>
      <w:r>
        <w:rPr>
          <w:rFonts w:hint="eastAsia" w:ascii="Times New Roman" w:cs="Times New Roman"/>
        </w:rPr>
        <w:t>招标文件分为技术占比6</w:t>
      </w:r>
      <w:r>
        <w:rPr>
          <w:rFonts w:ascii="Times New Roman" w:cs="Times New Roman"/>
        </w:rPr>
        <w:t>0</w:t>
      </w:r>
      <w:r>
        <w:rPr>
          <w:rFonts w:hint="eastAsia" w:ascii="Times New Roman" w:cs="Times New Roman"/>
        </w:rPr>
        <w:t>%及商务（价格、资质证明）两部份（4</w:t>
      </w:r>
      <w:r>
        <w:rPr>
          <w:rFonts w:ascii="Times New Roman" w:cs="Times New Roman"/>
        </w:rPr>
        <w:t>0</w:t>
      </w:r>
      <w:r>
        <w:rPr>
          <w:rFonts w:hint="eastAsia" w:ascii="Times New Roman" w:cs="Times New Roman"/>
        </w:rPr>
        <w:t>%）,</w:t>
      </w:r>
      <w:r>
        <w:rPr>
          <w:rFonts w:hint="eastAsia"/>
        </w:rPr>
        <w:t>技术部分需要述标，述标后方可开商务标</w:t>
      </w:r>
      <w:r>
        <w:rPr>
          <w:rFonts w:hint="eastAsia" w:ascii="Times New Roman" w:cs="Times New Roman"/>
        </w:rPr>
        <w:t>。</w:t>
      </w:r>
    </w:p>
    <w:p>
      <w:pPr>
        <w:pStyle w:val="60"/>
        <w:numPr>
          <w:ilvl w:val="0"/>
          <w:numId w:val="6"/>
        </w:numPr>
        <w:kinsoku w:val="0"/>
        <w:overflowPunct w:val="0"/>
        <w:spacing w:before="140" w:line="360" w:lineRule="auto"/>
        <w:ind w:firstLineChars="0"/>
      </w:pPr>
      <w:r>
        <w:t>招标活动实施时间和地点，</w:t>
      </w:r>
      <w:r>
        <w:rPr>
          <w:rFonts w:hint="eastAsia"/>
        </w:rPr>
        <w:t>投标文件递交和</w:t>
      </w:r>
      <w:r>
        <w:t>联系人及联系方式</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hint="eastAsia" w:ascii="Times New Roman" w:cs="Times New Roman"/>
        </w:rPr>
        <w:t>招标</w:t>
      </w:r>
      <w:r>
        <w:rPr>
          <w:rFonts w:ascii="Times New Roman" w:cs="Times New Roman"/>
        </w:rPr>
        <w:t>地点</w:t>
      </w:r>
      <w:r>
        <w:rPr>
          <w:rFonts w:hint="eastAsia" w:ascii="Times New Roman" w:cs="Times New Roman"/>
        </w:rPr>
        <w:t>：广东省佛山市三水区乐平镇乐强大道三水工业园区D区5号</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ascii="Times New Roman" w:cs="Times New Roman"/>
        </w:rPr>
        <w:t>招标时间：</w:t>
      </w:r>
      <w:r>
        <w:rPr>
          <w:rFonts w:hint="eastAsia" w:ascii="Times New Roman" w:cs="Times New Roman"/>
          <w:u w:val="single"/>
        </w:rPr>
        <w:t>2020</w:t>
      </w:r>
      <w:r>
        <w:rPr>
          <w:rFonts w:hint="eastAsia" w:ascii="Times New Roman" w:cs="Times New Roman"/>
        </w:rPr>
        <w:t>年</w:t>
      </w:r>
      <w:r>
        <w:rPr>
          <w:rFonts w:ascii="Times New Roman" w:cs="Times New Roman"/>
        </w:rPr>
        <w:t>10</w:t>
      </w:r>
      <w:r>
        <w:rPr>
          <w:rFonts w:hint="eastAsia" w:ascii="Times New Roman" w:cs="Times New Roman"/>
        </w:rPr>
        <w:t>月</w:t>
      </w:r>
      <w:r>
        <w:rPr>
          <w:rFonts w:hint="eastAsia" w:ascii="Times New Roman" w:cs="Times New Roman"/>
          <w:u w:val="single"/>
        </w:rPr>
        <w:t xml:space="preserve"> </w:t>
      </w:r>
      <w:r>
        <w:rPr>
          <w:rFonts w:ascii="Times New Roman" w:cs="Times New Roman"/>
          <w:u w:val="single"/>
        </w:rPr>
        <w:t>12</w:t>
      </w:r>
      <w:r>
        <w:rPr>
          <w:rFonts w:hint="eastAsia" w:ascii="Times New Roman" w:cs="Times New Roman"/>
          <w:u w:val="single"/>
        </w:rPr>
        <w:t xml:space="preserve"> </w:t>
      </w:r>
      <w:r>
        <w:rPr>
          <w:rFonts w:hint="eastAsia" w:ascii="Times New Roman" w:cs="Times New Roman"/>
        </w:rPr>
        <w:t>日</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ascii="Times New Roman" w:cs="Times New Roman"/>
        </w:rPr>
        <w:t>投标及开标地点/地址：</w:t>
      </w:r>
      <w:r>
        <w:rPr>
          <w:rFonts w:hint="eastAsia" w:ascii="Times New Roman" w:cs="Times New Roman"/>
        </w:rPr>
        <w:t>广东省佛山市三水区乐平镇乐强大道三水工业园区D区5号</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hint="eastAsia" w:ascii="Times New Roman" w:cs="Times New Roman"/>
        </w:rPr>
        <w:t>技术开标时间：</w:t>
      </w:r>
      <w:r>
        <w:rPr>
          <w:rFonts w:hint="eastAsia" w:ascii="Times New Roman" w:cs="Times New Roman"/>
          <w:u w:val="single"/>
        </w:rPr>
        <w:t>2020</w:t>
      </w:r>
      <w:r>
        <w:rPr>
          <w:rFonts w:hint="eastAsia" w:ascii="Times New Roman" w:cs="Times New Roman"/>
        </w:rPr>
        <w:t>年</w:t>
      </w:r>
      <w:r>
        <w:rPr>
          <w:rFonts w:ascii="Times New Roman" w:cs="Times New Roman"/>
        </w:rPr>
        <w:t>10</w:t>
      </w:r>
      <w:r>
        <w:rPr>
          <w:rFonts w:hint="eastAsia" w:ascii="Times New Roman" w:cs="Times New Roman"/>
        </w:rPr>
        <w:t>月</w:t>
      </w:r>
      <w:r>
        <w:rPr>
          <w:rFonts w:ascii="Times New Roman" w:cs="Times New Roman"/>
        </w:rPr>
        <w:t xml:space="preserve"> 29 </w:t>
      </w:r>
      <w:r>
        <w:rPr>
          <w:rFonts w:hint="eastAsia" w:ascii="Times New Roman" w:cs="Times New Roman"/>
        </w:rPr>
        <w:t>日（1周内按排预审合格技术标的供应商上门述标）</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hint="eastAsia" w:ascii="Times New Roman" w:cs="Times New Roman"/>
        </w:rPr>
        <w:t>商务开标时间：2</w:t>
      </w:r>
      <w:r>
        <w:rPr>
          <w:rFonts w:ascii="Times New Roman" w:cs="Times New Roman"/>
        </w:rPr>
        <w:t>020</w:t>
      </w:r>
      <w:r>
        <w:rPr>
          <w:rFonts w:hint="eastAsia" w:ascii="Times New Roman" w:cs="Times New Roman"/>
        </w:rPr>
        <w:t>年</w:t>
      </w:r>
      <w:r>
        <w:rPr>
          <w:rFonts w:ascii="Times New Roman" w:cs="Times New Roman"/>
        </w:rPr>
        <w:t>11</w:t>
      </w:r>
      <w:r>
        <w:rPr>
          <w:rFonts w:hint="eastAsia" w:ascii="Times New Roman" w:cs="Times New Roman"/>
        </w:rPr>
        <w:t>月</w:t>
      </w:r>
      <w:r>
        <w:rPr>
          <w:rFonts w:ascii="Times New Roman" w:cs="Times New Roman"/>
        </w:rPr>
        <w:t xml:space="preserve"> 03 </w:t>
      </w:r>
      <w:r>
        <w:rPr>
          <w:rFonts w:hint="eastAsia" w:ascii="Times New Roman" w:cs="Times New Roman"/>
        </w:rPr>
        <w:t>日前（技术方案入围的供应商方可参入商务标）</w:t>
      </w:r>
    </w:p>
    <w:p>
      <w:pPr>
        <w:pStyle w:val="2"/>
        <w:rPr>
          <w:rFonts w:ascii="Times New Roman" w:cs="Times New Roman"/>
        </w:rPr>
      </w:pPr>
      <w:r>
        <w:rPr>
          <w:rFonts w:hint="eastAsia" w:ascii="Times New Roman" w:cs="Times New Roman"/>
        </w:rPr>
        <w:t>本招标项目投标截至时间如下：</w:t>
      </w:r>
    </w:p>
    <w:p>
      <w:pPr>
        <w:pStyle w:val="2"/>
        <w:numPr>
          <w:ilvl w:val="0"/>
          <w:numId w:val="9"/>
        </w:numPr>
        <w:kinsoku w:val="0"/>
        <w:overflowPunct w:val="0"/>
        <w:spacing w:line="360" w:lineRule="auto"/>
        <w:ind w:right="244"/>
        <w:rPr>
          <w:rFonts w:ascii="Times New Roman" w:cs="Times New Roman"/>
        </w:rPr>
      </w:pPr>
      <w:r>
        <w:rPr>
          <w:rFonts w:hint="eastAsia" w:ascii="Times New Roman" w:cs="Times New Roman"/>
        </w:rPr>
        <w:t>电子《技术标》请投标单位在2020年</w:t>
      </w:r>
      <w:r>
        <w:rPr>
          <w:rFonts w:ascii="Times New Roman" w:cs="Times New Roman"/>
        </w:rPr>
        <w:t>10</w:t>
      </w:r>
      <w:r>
        <w:rPr>
          <w:rFonts w:hint="eastAsia" w:ascii="Times New Roman" w:cs="Times New Roman"/>
        </w:rPr>
        <w:t>月</w:t>
      </w:r>
      <w:r>
        <w:rPr>
          <w:rFonts w:ascii="Times New Roman" w:cs="Times New Roman"/>
        </w:rPr>
        <w:t>27</w:t>
      </w:r>
      <w:r>
        <w:rPr>
          <w:rFonts w:hint="eastAsia" w:ascii="Times New Roman" w:cs="Times New Roman"/>
        </w:rPr>
        <w:t>日下午5：00时前发到指定邮箱PUR@XingFa.com，具体技术标的开标时间及开标结果由招标方微信形式通知。</w:t>
      </w:r>
    </w:p>
    <w:p>
      <w:pPr>
        <w:pStyle w:val="2"/>
        <w:numPr>
          <w:ilvl w:val="0"/>
          <w:numId w:val="9"/>
        </w:numPr>
        <w:kinsoku w:val="0"/>
        <w:overflowPunct w:val="0"/>
        <w:spacing w:line="360" w:lineRule="auto"/>
        <w:ind w:right="244"/>
        <w:rPr>
          <w:rFonts w:ascii="Times New Roman" w:cs="Times New Roman"/>
        </w:rPr>
      </w:pPr>
      <w:r>
        <w:rPr>
          <w:rFonts w:hint="eastAsia" w:ascii="Times New Roman" w:cs="Times New Roman"/>
        </w:rPr>
        <w:t>纸质版的《技术标》和《商务标》截止于2020年</w:t>
      </w:r>
      <w:r>
        <w:rPr>
          <w:rFonts w:ascii="Times New Roman" w:cs="Times New Roman"/>
        </w:rPr>
        <w:t>10</w:t>
      </w:r>
      <w:r>
        <w:rPr>
          <w:rFonts w:hint="eastAsia" w:ascii="Times New Roman" w:cs="Times New Roman"/>
        </w:rPr>
        <w:t>月</w:t>
      </w:r>
      <w:r>
        <w:rPr>
          <w:rFonts w:ascii="Times New Roman" w:cs="Times New Roman"/>
        </w:rPr>
        <w:t>27</w:t>
      </w:r>
      <w:r>
        <w:rPr>
          <w:rFonts w:hint="eastAsia" w:ascii="Times New Roman" w:cs="Times New Roman"/>
        </w:rPr>
        <w:t>日下午5:00时。请投标单位在限定时间前将纸质版（含投标保证金缴款凭证、报价资料、相关资质证明文件和业绩说明书、同时商务价格标需要列出整体方案清单并就每项标注单价，只有整体价格将会视为不合格，不再参入评标环节）加盖公章送抵广东兴发铝业有限公司采购部</w:t>
      </w:r>
      <w:r>
        <w:rPr>
          <w:rFonts w:hint="eastAsia" w:hAnsi="宋体"/>
          <w:sz w:val="20"/>
        </w:rPr>
        <w:t>何镜东</w:t>
      </w:r>
      <w:r>
        <w:rPr>
          <w:rFonts w:hint="eastAsia" w:ascii="Times New Roman" w:cs="Times New Roman"/>
        </w:rPr>
        <w:t>（收），逾期将视贵公司放弃投标。</w:t>
      </w:r>
    </w:p>
    <w:p>
      <w:pPr>
        <w:pStyle w:val="2"/>
        <w:kinsoku w:val="0"/>
        <w:overflowPunct w:val="0"/>
        <w:spacing w:line="360" w:lineRule="auto"/>
        <w:ind w:left="418" w:leftChars="199" w:right="244"/>
        <w:rPr>
          <w:rFonts w:ascii="Times New Roman" w:cs="Times New Roman"/>
        </w:rPr>
      </w:pPr>
      <w:r>
        <w:rPr>
          <w:rFonts w:hint="eastAsia" w:ascii="Times New Roman" w:cs="Times New Roman"/>
        </w:rPr>
        <w:t>具体投标文件送抵地址及收件人信息如下：</w:t>
      </w:r>
    </w:p>
    <w:p>
      <w:pPr>
        <w:pStyle w:val="2"/>
        <w:kinsoku w:val="0"/>
        <w:overflowPunct w:val="0"/>
        <w:spacing w:line="360" w:lineRule="auto"/>
        <w:ind w:left="418" w:leftChars="199" w:right="244"/>
        <w:rPr>
          <w:rFonts w:ascii="Times New Roman" w:cs="Times New Roman"/>
        </w:rPr>
      </w:pPr>
      <w:r>
        <w:rPr>
          <w:rFonts w:hint="eastAsia" w:ascii="Times New Roman" w:cs="Times New Roman"/>
        </w:rPr>
        <w:t xml:space="preserve">收件公司：广东兴发铝业有限公司        </w:t>
      </w:r>
    </w:p>
    <w:p>
      <w:pPr>
        <w:pStyle w:val="2"/>
        <w:kinsoku w:val="0"/>
        <w:overflowPunct w:val="0"/>
        <w:spacing w:line="360" w:lineRule="auto"/>
        <w:ind w:left="418" w:leftChars="199" w:right="244"/>
        <w:rPr>
          <w:rFonts w:ascii="Times New Roman" w:cs="Times New Roman"/>
        </w:rPr>
      </w:pPr>
      <w:r>
        <w:rPr>
          <w:rFonts w:hint="eastAsia" w:ascii="Times New Roman" w:cs="Times New Roman"/>
        </w:rPr>
        <w:t>收件地址：广东省佛山市三水区乐平镇中心科技工业园D区5号  邮编：528137</w:t>
      </w:r>
    </w:p>
    <w:p>
      <w:pPr>
        <w:pStyle w:val="2"/>
        <w:kinsoku w:val="0"/>
        <w:overflowPunct w:val="0"/>
        <w:spacing w:line="360" w:lineRule="auto"/>
        <w:ind w:left="418" w:leftChars="199" w:right="244"/>
        <w:rPr>
          <w:rFonts w:hint="eastAsia" w:ascii="Times New Roman" w:eastAsia="宋体" w:cs="Times New Roman"/>
          <w:lang w:eastAsia="zh-CN"/>
        </w:rPr>
      </w:pPr>
      <w:r>
        <w:rPr>
          <w:rFonts w:hint="eastAsia" w:ascii="Times New Roman" w:cs="Times New Roman"/>
        </w:rPr>
        <w:t>收件人：</w:t>
      </w:r>
      <w:r>
        <w:rPr>
          <w:rFonts w:hint="eastAsia" w:hAnsi="宋体"/>
          <w:sz w:val="20"/>
          <w:lang w:eastAsia="zh-CN"/>
        </w:rPr>
        <w:t>黄泳恩</w:t>
      </w:r>
    </w:p>
    <w:p>
      <w:pPr>
        <w:pStyle w:val="2"/>
        <w:kinsoku w:val="0"/>
        <w:overflowPunct w:val="0"/>
        <w:spacing w:line="360" w:lineRule="auto"/>
        <w:ind w:left="418" w:leftChars="199" w:right="244"/>
        <w:rPr>
          <w:rFonts w:hint="default" w:ascii="Times New Roman" w:eastAsia="宋体" w:cs="Times New Roman"/>
          <w:lang w:val="en-US" w:eastAsia="zh-CN"/>
        </w:rPr>
      </w:pPr>
      <w:r>
        <w:rPr>
          <w:rFonts w:hint="eastAsia" w:ascii="Times New Roman" w:cs="Times New Roman"/>
        </w:rPr>
        <w:t>收件人手机：</w:t>
      </w:r>
      <w:r>
        <w:rPr>
          <w:rFonts w:hint="eastAsia" w:hAnsi="宋体"/>
          <w:sz w:val="20"/>
          <w:lang w:val="en-US" w:eastAsia="zh-CN"/>
        </w:rPr>
        <w:t>13246842148</w:t>
      </w:r>
    </w:p>
    <w:p>
      <w:pPr>
        <w:pStyle w:val="2"/>
        <w:numPr>
          <w:ilvl w:val="0"/>
          <w:numId w:val="8"/>
        </w:numPr>
        <w:kinsoku w:val="0"/>
        <w:overflowPunct w:val="0"/>
        <w:spacing w:line="360" w:lineRule="auto"/>
        <w:ind w:left="126" w:leftChars="60" w:right="244" w:firstLine="291" w:firstLineChars="139"/>
        <w:rPr>
          <w:rFonts w:ascii="Times New Roman" w:cs="Times New Roman"/>
        </w:rPr>
      </w:pPr>
      <w:r>
        <w:rPr>
          <w:rFonts w:hint="eastAsia" w:ascii="Times New Roman" w:cs="Times New Roman"/>
        </w:rPr>
        <w:t>本项目招标组成员及其联系方式如下：</w:t>
      </w:r>
    </w:p>
    <w:tbl>
      <w:tblPr>
        <w:tblStyle w:val="2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2164"/>
        <w:gridCol w:w="1559"/>
        <w:gridCol w:w="2267"/>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序号</w:t>
            </w:r>
          </w:p>
        </w:tc>
        <w:tc>
          <w:tcPr>
            <w:tcW w:w="2165" w:type="dxa"/>
            <w:vAlign w:val="center"/>
          </w:tcPr>
          <w:p>
            <w:pPr>
              <w:spacing w:line="360" w:lineRule="auto"/>
              <w:jc w:val="center"/>
              <w:rPr>
                <w:rFonts w:ascii="宋体" w:hAnsi="宋体" w:cs="宋体"/>
                <w:sz w:val="20"/>
              </w:rPr>
            </w:pPr>
            <w:r>
              <w:rPr>
                <w:rFonts w:hint="eastAsia" w:ascii="宋体" w:hAnsi="宋体" w:cs="宋体"/>
                <w:sz w:val="20"/>
              </w:rPr>
              <w:t>项目</w:t>
            </w:r>
          </w:p>
        </w:tc>
        <w:tc>
          <w:tcPr>
            <w:tcW w:w="1560" w:type="dxa"/>
            <w:vAlign w:val="center"/>
          </w:tcPr>
          <w:p>
            <w:pPr>
              <w:spacing w:line="360" w:lineRule="auto"/>
              <w:jc w:val="center"/>
              <w:rPr>
                <w:rFonts w:ascii="宋体" w:hAnsi="宋体" w:cs="宋体"/>
                <w:sz w:val="20"/>
              </w:rPr>
            </w:pPr>
            <w:r>
              <w:rPr>
                <w:rFonts w:hint="eastAsia" w:ascii="宋体" w:hAnsi="宋体" w:cs="宋体"/>
                <w:sz w:val="20"/>
              </w:rPr>
              <w:t>联系人</w:t>
            </w:r>
          </w:p>
        </w:tc>
        <w:tc>
          <w:tcPr>
            <w:tcW w:w="2268" w:type="dxa"/>
            <w:vAlign w:val="center"/>
          </w:tcPr>
          <w:p>
            <w:pPr>
              <w:spacing w:line="360" w:lineRule="auto"/>
              <w:jc w:val="center"/>
              <w:rPr>
                <w:rFonts w:ascii="宋体" w:hAnsi="宋体" w:cs="宋体"/>
                <w:sz w:val="20"/>
              </w:rPr>
            </w:pPr>
            <w:r>
              <w:rPr>
                <w:rFonts w:hint="eastAsia" w:ascii="宋体" w:hAnsi="宋体" w:cs="宋体"/>
                <w:sz w:val="20"/>
              </w:rPr>
              <w:t>电话</w:t>
            </w:r>
          </w:p>
        </w:tc>
        <w:tc>
          <w:tcPr>
            <w:tcW w:w="2977" w:type="dxa"/>
            <w:vAlign w:val="center"/>
          </w:tcPr>
          <w:p>
            <w:pPr>
              <w:spacing w:line="360" w:lineRule="auto"/>
              <w:jc w:val="center"/>
              <w:rPr>
                <w:rFonts w:ascii="宋体" w:hAnsi="宋体" w:cs="宋体"/>
                <w:sz w:val="20"/>
              </w:rPr>
            </w:pPr>
            <w:r>
              <w:rPr>
                <w:rFonts w:hint="eastAsia" w:ascii="宋体" w:hAnsi="宋体" w:cs="宋体"/>
                <w:sz w:val="20"/>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Merge w:val="restart"/>
            <w:vAlign w:val="center"/>
          </w:tcPr>
          <w:p>
            <w:pPr>
              <w:spacing w:line="360" w:lineRule="auto"/>
              <w:jc w:val="center"/>
              <w:rPr>
                <w:rFonts w:ascii="宋体" w:hAnsi="宋体" w:cs="宋体"/>
                <w:sz w:val="20"/>
              </w:rPr>
            </w:pPr>
            <w:r>
              <w:rPr>
                <w:rFonts w:hint="eastAsia" w:ascii="宋体" w:hAnsi="宋体" w:cs="宋体"/>
                <w:sz w:val="20"/>
              </w:rPr>
              <w:t>一</w:t>
            </w:r>
          </w:p>
        </w:tc>
        <w:tc>
          <w:tcPr>
            <w:tcW w:w="2165" w:type="dxa"/>
            <w:vMerge w:val="restart"/>
            <w:vAlign w:val="center"/>
          </w:tcPr>
          <w:p>
            <w:pPr>
              <w:spacing w:line="360" w:lineRule="auto"/>
              <w:jc w:val="center"/>
              <w:rPr>
                <w:rFonts w:ascii="宋体" w:hAnsi="宋体" w:cs="宋体"/>
                <w:sz w:val="20"/>
              </w:rPr>
            </w:pPr>
            <w:r>
              <w:rPr>
                <w:rFonts w:hint="eastAsia" w:ascii="宋体" w:hAnsi="宋体" w:cs="宋体"/>
                <w:sz w:val="20"/>
              </w:rPr>
              <w:t>商务</w:t>
            </w:r>
          </w:p>
        </w:tc>
        <w:tc>
          <w:tcPr>
            <w:tcW w:w="1560" w:type="dxa"/>
            <w:vAlign w:val="center"/>
          </w:tcPr>
          <w:p>
            <w:pPr>
              <w:spacing w:line="360" w:lineRule="auto"/>
              <w:jc w:val="center"/>
              <w:rPr>
                <w:rFonts w:ascii="宋体" w:hAnsi="宋体" w:cs="宋体"/>
                <w:sz w:val="20"/>
              </w:rPr>
            </w:pPr>
            <w:r>
              <w:rPr>
                <w:rFonts w:hint="eastAsia" w:ascii="宋体" w:hAnsi="宋体" w:cs="宋体"/>
                <w:sz w:val="20"/>
              </w:rPr>
              <w:t>梁惠锡</w:t>
            </w:r>
          </w:p>
        </w:tc>
        <w:tc>
          <w:tcPr>
            <w:tcW w:w="2268" w:type="dxa"/>
            <w:vAlign w:val="center"/>
          </w:tcPr>
          <w:p>
            <w:pPr>
              <w:spacing w:line="360" w:lineRule="auto"/>
              <w:jc w:val="center"/>
              <w:rPr>
                <w:rFonts w:ascii="宋体" w:hAnsi="宋体" w:cs="宋体"/>
                <w:sz w:val="20"/>
              </w:rPr>
            </w:pPr>
            <w:r>
              <w:rPr>
                <w:rFonts w:hint="eastAsia" w:ascii="宋体" w:hAnsi="宋体" w:cs="宋体"/>
                <w:sz w:val="20"/>
              </w:rPr>
              <w:t>13622720927</w:t>
            </w:r>
          </w:p>
        </w:tc>
        <w:tc>
          <w:tcPr>
            <w:tcW w:w="2977" w:type="dxa"/>
            <w:vAlign w:val="center"/>
          </w:tcPr>
          <w:p>
            <w:pPr>
              <w:spacing w:line="360" w:lineRule="auto"/>
              <w:jc w:val="center"/>
              <w:rPr>
                <w:rFonts w:ascii="宋体" w:hAnsi="宋体" w:cs="宋体"/>
                <w:sz w:val="20"/>
              </w:rPr>
            </w:pPr>
            <w:r>
              <w:rPr>
                <w:rFonts w:hint="eastAsia" w:ascii="宋体" w:hAnsi="宋体" w:cs="宋体"/>
                <w:sz w:val="20"/>
              </w:rPr>
              <w:t>0757-87390191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Merge w:val="continue"/>
            <w:vAlign w:val="center"/>
          </w:tcPr>
          <w:p>
            <w:pPr>
              <w:spacing w:line="360" w:lineRule="auto"/>
              <w:jc w:val="center"/>
              <w:rPr>
                <w:rFonts w:ascii="宋体" w:hAnsi="宋体" w:cs="宋体"/>
                <w:sz w:val="20"/>
              </w:rPr>
            </w:pPr>
          </w:p>
        </w:tc>
        <w:tc>
          <w:tcPr>
            <w:tcW w:w="2165" w:type="dxa"/>
            <w:vMerge w:val="continue"/>
            <w:vAlign w:val="center"/>
          </w:tcPr>
          <w:p>
            <w:pPr>
              <w:spacing w:line="360" w:lineRule="auto"/>
              <w:jc w:val="center"/>
              <w:rPr>
                <w:rFonts w:ascii="宋体" w:hAnsi="宋体" w:cs="宋体"/>
                <w:sz w:val="20"/>
              </w:rPr>
            </w:pPr>
          </w:p>
        </w:tc>
        <w:tc>
          <w:tcPr>
            <w:tcW w:w="1560" w:type="dxa"/>
            <w:vAlign w:val="center"/>
          </w:tcPr>
          <w:p>
            <w:pPr>
              <w:spacing w:line="360" w:lineRule="auto"/>
              <w:jc w:val="center"/>
              <w:rPr>
                <w:rFonts w:hint="eastAsia" w:ascii="宋体" w:hAnsi="宋体" w:eastAsia="宋体" w:cs="宋体"/>
                <w:sz w:val="20"/>
                <w:lang w:eastAsia="zh-CN"/>
              </w:rPr>
            </w:pPr>
            <w:r>
              <w:rPr>
                <w:rFonts w:hint="eastAsia" w:ascii="宋体" w:hAnsi="宋体" w:cs="宋体"/>
                <w:sz w:val="20"/>
                <w:lang w:eastAsia="zh-CN"/>
              </w:rPr>
              <w:t>黄泳恩</w:t>
            </w:r>
          </w:p>
        </w:tc>
        <w:tc>
          <w:tcPr>
            <w:tcW w:w="2268" w:type="dxa"/>
            <w:vAlign w:val="center"/>
          </w:tcPr>
          <w:p>
            <w:pPr>
              <w:spacing w:line="360" w:lineRule="auto"/>
              <w:jc w:val="center"/>
              <w:rPr>
                <w:rFonts w:ascii="宋体" w:hAnsi="宋体" w:cs="宋体"/>
                <w:sz w:val="20"/>
              </w:rPr>
            </w:pPr>
            <w:r>
              <w:rPr>
                <w:rFonts w:hint="eastAsia" w:hAnsi="宋体"/>
                <w:sz w:val="20"/>
                <w:lang w:val="en-US" w:eastAsia="zh-CN"/>
              </w:rPr>
              <w:t>13246842148</w:t>
            </w:r>
          </w:p>
        </w:tc>
        <w:tc>
          <w:tcPr>
            <w:tcW w:w="2977"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二</w:t>
            </w:r>
          </w:p>
        </w:tc>
        <w:tc>
          <w:tcPr>
            <w:tcW w:w="2165" w:type="dxa"/>
            <w:vAlign w:val="center"/>
          </w:tcPr>
          <w:p>
            <w:pPr>
              <w:spacing w:line="360" w:lineRule="auto"/>
              <w:jc w:val="center"/>
              <w:rPr>
                <w:rFonts w:ascii="宋体" w:hAnsi="宋体" w:cs="宋体"/>
                <w:sz w:val="20"/>
              </w:rPr>
            </w:pPr>
            <w:r>
              <w:rPr>
                <w:rFonts w:hint="eastAsia" w:ascii="宋体" w:hAnsi="宋体" w:cs="宋体"/>
                <w:sz w:val="20"/>
              </w:rPr>
              <w:t>投标保证金退款</w:t>
            </w:r>
          </w:p>
        </w:tc>
        <w:tc>
          <w:tcPr>
            <w:tcW w:w="1560" w:type="dxa"/>
            <w:vAlign w:val="center"/>
          </w:tcPr>
          <w:p>
            <w:pPr>
              <w:spacing w:line="360" w:lineRule="auto"/>
              <w:jc w:val="center"/>
              <w:rPr>
                <w:rFonts w:ascii="宋体" w:hAnsi="宋体" w:cs="宋体"/>
                <w:sz w:val="20"/>
              </w:rPr>
            </w:pPr>
            <w:r>
              <w:rPr>
                <w:rFonts w:hint="eastAsia" w:ascii="宋体" w:hAnsi="宋体" w:cs="宋体"/>
                <w:sz w:val="20"/>
              </w:rPr>
              <w:t>郑燕金</w:t>
            </w:r>
          </w:p>
        </w:tc>
        <w:tc>
          <w:tcPr>
            <w:tcW w:w="2268" w:type="dxa"/>
            <w:vAlign w:val="center"/>
          </w:tcPr>
          <w:p>
            <w:pPr>
              <w:spacing w:line="360" w:lineRule="auto"/>
              <w:jc w:val="center"/>
              <w:rPr>
                <w:rFonts w:ascii="宋体" w:hAnsi="宋体" w:cs="宋体"/>
                <w:sz w:val="20"/>
              </w:rPr>
            </w:pPr>
            <w:r>
              <w:rPr>
                <w:rFonts w:hint="eastAsia" w:ascii="宋体" w:hAnsi="宋体" w:cs="宋体"/>
                <w:sz w:val="20"/>
              </w:rPr>
              <w:t>15813612147</w:t>
            </w:r>
          </w:p>
        </w:tc>
        <w:tc>
          <w:tcPr>
            <w:tcW w:w="2977" w:type="dxa"/>
            <w:vAlign w:val="center"/>
          </w:tcPr>
          <w:p>
            <w:pPr>
              <w:spacing w:line="360" w:lineRule="auto"/>
              <w:jc w:val="center"/>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Align w:val="center"/>
          </w:tcPr>
          <w:p>
            <w:pPr>
              <w:spacing w:line="360" w:lineRule="auto"/>
              <w:jc w:val="center"/>
              <w:rPr>
                <w:rFonts w:ascii="宋体" w:hAnsi="宋体" w:cs="宋体"/>
                <w:sz w:val="20"/>
              </w:rPr>
            </w:pPr>
            <w:r>
              <w:rPr>
                <w:rFonts w:hint="eastAsia" w:ascii="宋体" w:hAnsi="宋体" w:cs="宋体"/>
                <w:sz w:val="20"/>
              </w:rPr>
              <w:t>三</w:t>
            </w:r>
          </w:p>
        </w:tc>
        <w:tc>
          <w:tcPr>
            <w:tcW w:w="2165" w:type="dxa"/>
            <w:vAlign w:val="center"/>
          </w:tcPr>
          <w:p>
            <w:pPr>
              <w:spacing w:line="360" w:lineRule="auto"/>
              <w:jc w:val="center"/>
              <w:rPr>
                <w:rFonts w:ascii="宋体" w:hAnsi="宋体" w:cs="宋体"/>
                <w:sz w:val="20"/>
              </w:rPr>
            </w:pPr>
            <w:r>
              <w:rPr>
                <w:rFonts w:hint="eastAsia" w:ascii="宋体" w:hAnsi="宋体" w:cs="宋体"/>
                <w:sz w:val="20"/>
              </w:rPr>
              <w:t>技术</w:t>
            </w:r>
          </w:p>
        </w:tc>
        <w:tc>
          <w:tcPr>
            <w:tcW w:w="1556" w:type="dxa"/>
            <w:vAlign w:val="center"/>
          </w:tcPr>
          <w:p>
            <w:pPr>
              <w:spacing w:line="360" w:lineRule="auto"/>
              <w:jc w:val="center"/>
              <w:rPr>
                <w:rFonts w:ascii="宋体" w:hAnsi="宋体" w:cs="宋体"/>
                <w:sz w:val="20"/>
              </w:rPr>
            </w:pPr>
            <w:r>
              <w:rPr>
                <w:rFonts w:hint="eastAsia" w:ascii="宋体" w:hAnsi="宋体" w:cs="宋体"/>
                <w:sz w:val="20"/>
              </w:rPr>
              <w:t>甘忠新</w:t>
            </w:r>
          </w:p>
        </w:tc>
        <w:tc>
          <w:tcPr>
            <w:tcW w:w="5249" w:type="dxa"/>
            <w:gridSpan w:val="2"/>
            <w:vAlign w:val="center"/>
          </w:tcPr>
          <w:p>
            <w:pPr>
              <w:spacing w:line="360" w:lineRule="auto"/>
              <w:jc w:val="center"/>
              <w:rPr>
                <w:rFonts w:ascii="宋体" w:hAnsi="宋体" w:cs="宋体"/>
                <w:sz w:val="20"/>
              </w:rPr>
            </w:pPr>
            <w:r>
              <w:rPr>
                <w:rFonts w:ascii="宋体" w:hAnsi="宋体" w:cs="宋体"/>
                <w:sz w:val="20"/>
              </w:rPr>
              <w:t>15899555025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restart"/>
            <w:vAlign w:val="center"/>
          </w:tcPr>
          <w:p>
            <w:pPr>
              <w:spacing w:line="360" w:lineRule="auto"/>
              <w:jc w:val="center"/>
              <w:rPr>
                <w:rFonts w:ascii="宋体" w:hAnsi="宋体" w:cs="宋体"/>
                <w:sz w:val="20"/>
              </w:rPr>
            </w:pPr>
            <w:r>
              <w:rPr>
                <w:rFonts w:hint="eastAsia" w:ascii="宋体" w:hAnsi="宋体" w:cs="宋体"/>
                <w:sz w:val="20"/>
              </w:rPr>
              <w:t>四</w:t>
            </w:r>
          </w:p>
        </w:tc>
        <w:tc>
          <w:tcPr>
            <w:tcW w:w="2165" w:type="dxa"/>
            <w:vMerge w:val="restart"/>
            <w:vAlign w:val="center"/>
          </w:tcPr>
          <w:p>
            <w:pPr>
              <w:spacing w:line="360" w:lineRule="auto"/>
              <w:jc w:val="center"/>
              <w:rPr>
                <w:rFonts w:ascii="宋体" w:hAnsi="宋体" w:cs="宋体"/>
                <w:sz w:val="20"/>
              </w:rPr>
            </w:pPr>
            <w:r>
              <w:rPr>
                <w:rFonts w:hint="eastAsia" w:ascii="宋体" w:hAnsi="宋体" w:cs="宋体"/>
                <w:sz w:val="20"/>
              </w:rPr>
              <w:t>监督</w:t>
            </w:r>
          </w:p>
        </w:tc>
        <w:tc>
          <w:tcPr>
            <w:tcW w:w="1560" w:type="dxa"/>
            <w:vAlign w:val="center"/>
          </w:tcPr>
          <w:p>
            <w:pPr>
              <w:spacing w:line="360" w:lineRule="auto"/>
              <w:jc w:val="center"/>
              <w:rPr>
                <w:rFonts w:ascii="宋体" w:hAnsi="宋体" w:cs="宋体"/>
                <w:sz w:val="20"/>
              </w:rPr>
            </w:pPr>
            <w:r>
              <w:rPr>
                <w:rFonts w:hint="eastAsia" w:ascii="宋体" w:hAnsi="宋体" w:cs="宋体"/>
                <w:sz w:val="20"/>
              </w:rPr>
              <w:t>潘耀淦</w:t>
            </w:r>
          </w:p>
        </w:tc>
        <w:tc>
          <w:tcPr>
            <w:tcW w:w="2268" w:type="dxa"/>
            <w:vAlign w:val="center"/>
          </w:tcPr>
          <w:p>
            <w:pPr>
              <w:spacing w:line="360" w:lineRule="auto"/>
              <w:jc w:val="center"/>
              <w:rPr>
                <w:rFonts w:ascii="宋体" w:hAnsi="宋体" w:cs="宋体"/>
                <w:sz w:val="20"/>
              </w:rPr>
            </w:pPr>
            <w:r>
              <w:rPr>
                <w:rFonts w:hint="eastAsia" w:ascii="宋体" w:hAnsi="宋体" w:cs="宋体"/>
                <w:sz w:val="20"/>
              </w:rPr>
              <w:t>13809815081</w:t>
            </w:r>
          </w:p>
        </w:tc>
        <w:tc>
          <w:tcPr>
            <w:tcW w:w="2977" w:type="dxa"/>
            <w:vAlign w:val="center"/>
          </w:tcPr>
          <w:p>
            <w:pPr>
              <w:spacing w:line="360" w:lineRule="auto"/>
              <w:jc w:val="center"/>
              <w:rPr>
                <w:rFonts w:ascii="宋体" w:hAnsi="宋体" w:cs="宋体"/>
                <w:sz w:val="20"/>
              </w:rPr>
            </w:pPr>
            <w:r>
              <w:rPr>
                <w:rFonts w:hint="eastAsia" w:ascii="宋体" w:hAnsi="宋体" w:cs="宋体"/>
                <w:sz w:val="20"/>
              </w:rPr>
              <w:t>0757-85387622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1" w:type="dxa"/>
            <w:vMerge w:val="continue"/>
            <w:vAlign w:val="center"/>
          </w:tcPr>
          <w:p>
            <w:pPr>
              <w:spacing w:line="360" w:lineRule="auto"/>
              <w:jc w:val="center"/>
              <w:rPr>
                <w:rFonts w:ascii="宋体" w:hAnsi="宋体" w:cs="宋体"/>
                <w:sz w:val="20"/>
              </w:rPr>
            </w:pPr>
          </w:p>
        </w:tc>
        <w:tc>
          <w:tcPr>
            <w:tcW w:w="2165" w:type="dxa"/>
            <w:vMerge w:val="continue"/>
            <w:vAlign w:val="center"/>
          </w:tcPr>
          <w:p>
            <w:pPr>
              <w:spacing w:line="360" w:lineRule="auto"/>
              <w:jc w:val="center"/>
              <w:rPr>
                <w:rFonts w:ascii="宋体" w:hAnsi="宋体" w:cs="宋体"/>
                <w:sz w:val="20"/>
              </w:rPr>
            </w:pPr>
          </w:p>
        </w:tc>
        <w:tc>
          <w:tcPr>
            <w:tcW w:w="1560" w:type="dxa"/>
            <w:vAlign w:val="center"/>
          </w:tcPr>
          <w:p>
            <w:pPr>
              <w:spacing w:line="360" w:lineRule="auto"/>
              <w:jc w:val="center"/>
              <w:rPr>
                <w:rFonts w:ascii="宋体" w:hAnsi="宋体" w:cs="宋体"/>
                <w:sz w:val="20"/>
              </w:rPr>
            </w:pPr>
            <w:r>
              <w:rPr>
                <w:rFonts w:hint="eastAsia" w:ascii="宋体" w:hAnsi="宋体" w:cs="宋体"/>
                <w:sz w:val="20"/>
              </w:rPr>
              <w:t>廖文桦</w:t>
            </w:r>
          </w:p>
        </w:tc>
        <w:tc>
          <w:tcPr>
            <w:tcW w:w="2268" w:type="dxa"/>
            <w:vAlign w:val="center"/>
          </w:tcPr>
          <w:p>
            <w:pPr>
              <w:spacing w:line="360" w:lineRule="auto"/>
              <w:jc w:val="center"/>
              <w:rPr>
                <w:rFonts w:ascii="宋体" w:hAnsi="宋体" w:cs="宋体"/>
                <w:sz w:val="20"/>
              </w:rPr>
            </w:pPr>
            <w:r>
              <w:rPr>
                <w:rFonts w:hint="eastAsia" w:ascii="宋体" w:hAnsi="宋体" w:cs="宋体"/>
                <w:sz w:val="20"/>
              </w:rPr>
              <w:t>13929988447</w:t>
            </w:r>
          </w:p>
        </w:tc>
        <w:tc>
          <w:tcPr>
            <w:tcW w:w="2977" w:type="dxa"/>
            <w:vAlign w:val="center"/>
          </w:tcPr>
          <w:p>
            <w:pPr>
              <w:spacing w:line="360" w:lineRule="auto"/>
              <w:jc w:val="center"/>
              <w:rPr>
                <w:rFonts w:ascii="宋体" w:hAnsi="宋体" w:cs="宋体"/>
                <w:sz w:val="20"/>
              </w:rPr>
            </w:pPr>
            <w:r>
              <w:rPr>
                <w:rFonts w:hint="eastAsia" w:ascii="宋体" w:hAnsi="宋体" w:cs="宋体"/>
                <w:sz w:val="20"/>
              </w:rPr>
              <w:t>0757-87336859</w:t>
            </w:r>
          </w:p>
        </w:tc>
      </w:tr>
    </w:tbl>
    <w:p>
      <w:pPr>
        <w:pStyle w:val="2"/>
        <w:tabs>
          <w:tab w:val="left" w:pos="312"/>
        </w:tabs>
        <w:kinsoku w:val="0"/>
        <w:overflowPunct w:val="0"/>
        <w:spacing w:line="360" w:lineRule="auto"/>
        <w:ind w:right="244"/>
        <w:rPr>
          <w:rFonts w:ascii="Times New Roman" w:cs="Times New Roman"/>
        </w:rPr>
      </w:pP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特别提示：</w:t>
      </w: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1.</w:t>
      </w:r>
      <w:r>
        <w:rPr>
          <w:rFonts w:hint="eastAsia" w:ascii="Times New Roman" w:cs="Times New Roman"/>
        </w:rPr>
        <w:tab/>
      </w:r>
      <w:r>
        <w:rPr>
          <w:rFonts w:hint="eastAsia" w:ascii="Times New Roman" w:cs="Times New Roman"/>
        </w:rPr>
        <w:t>招标方将不负责投标人准备标书和递交标书所发生的任何成本或费用。</w:t>
      </w: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2.</w:t>
      </w:r>
      <w:r>
        <w:rPr>
          <w:rFonts w:hint="eastAsia" w:ascii="Times New Roman" w:cs="Times New Roman"/>
        </w:rPr>
        <w:tab/>
      </w:r>
      <w:r>
        <w:rPr>
          <w:rFonts w:hint="eastAsia" w:ascii="Times New Roman" w:cs="Times New Roman"/>
        </w:rPr>
        <w:t>投标方在递交投标书时需缴交伍万元整投标保证金，并将缴款凭证复印件张贴在投标文件档案袋封面（需加盖公章）</w:t>
      </w: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3.</w:t>
      </w:r>
      <w:r>
        <w:rPr>
          <w:rFonts w:hint="eastAsia" w:ascii="Times New Roman" w:cs="Times New Roman"/>
        </w:rPr>
        <w:tab/>
      </w:r>
      <w:r>
        <w:rPr>
          <w:rFonts w:hint="eastAsia" w:ascii="Times New Roman" w:cs="Times New Roman"/>
        </w:rPr>
        <w:t xml:space="preserve">开户名称：广东兴发铝业有限公司 </w:t>
      </w: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帐   号：44-536501040013989</w:t>
      </w:r>
    </w:p>
    <w:p>
      <w:pPr>
        <w:pStyle w:val="2"/>
        <w:tabs>
          <w:tab w:val="left" w:pos="312"/>
        </w:tabs>
        <w:kinsoku w:val="0"/>
        <w:overflowPunct w:val="0"/>
        <w:spacing w:line="360" w:lineRule="auto"/>
        <w:ind w:right="244"/>
        <w:rPr>
          <w:rFonts w:ascii="Times New Roman" w:cs="Times New Roman"/>
        </w:rPr>
      </w:pPr>
      <w:r>
        <w:rPr>
          <w:rFonts w:hint="eastAsia" w:ascii="Times New Roman" w:cs="Times New Roman"/>
        </w:rPr>
        <w:t xml:space="preserve">   开户银行：中国农业银行佛山南庄支行</w:t>
      </w:r>
    </w:p>
    <w:p>
      <w:pPr>
        <w:pStyle w:val="3"/>
        <w:keepNext w:val="0"/>
        <w:keepLines w:val="0"/>
        <w:pageBreakBefore/>
        <w:spacing w:line="360" w:lineRule="auto"/>
        <w:ind w:firstLine="3313" w:firstLineChars="1100"/>
        <w:rPr>
          <w:rFonts w:ascii="宋体" w:hAnsi="宋体"/>
          <w:sz w:val="30"/>
          <w:szCs w:val="30"/>
        </w:rPr>
      </w:pPr>
      <w:bookmarkStart w:id="6" w:name="_Toc52888918"/>
      <w:bookmarkStart w:id="7" w:name="_Toc23259159"/>
      <w:bookmarkStart w:id="8" w:name="_Toc4016"/>
      <w:bookmarkStart w:id="9" w:name="_Toc6653"/>
      <w:bookmarkStart w:id="10" w:name="_Toc25860344"/>
      <w:bookmarkStart w:id="11" w:name="_Toc23259359"/>
      <w:r>
        <w:rPr>
          <w:rFonts w:hint="eastAsia" w:ascii="宋体" w:hAnsi="宋体"/>
          <w:sz w:val="30"/>
          <w:szCs w:val="30"/>
        </w:rPr>
        <w:t>第二部分  招标说明</w:t>
      </w:r>
      <w:bookmarkEnd w:id="6"/>
      <w:bookmarkEnd w:id="7"/>
      <w:bookmarkEnd w:id="8"/>
      <w:bookmarkEnd w:id="9"/>
      <w:bookmarkEnd w:id="10"/>
      <w:bookmarkEnd w:id="11"/>
    </w:p>
    <w:p>
      <w:pPr>
        <w:pStyle w:val="4"/>
        <w:keepNext w:val="0"/>
        <w:keepLines w:val="0"/>
        <w:spacing w:line="360" w:lineRule="auto"/>
        <w:jc w:val="center"/>
        <w:rPr>
          <w:rFonts w:eastAsia="宋体"/>
          <w:sz w:val="30"/>
          <w:szCs w:val="30"/>
        </w:rPr>
      </w:pPr>
      <w:bookmarkStart w:id="12" w:name="_Toc4177"/>
      <w:bookmarkStart w:id="13" w:name="_Toc52888919"/>
      <w:bookmarkStart w:id="14" w:name="_Toc23259160"/>
      <w:bookmarkStart w:id="15" w:name="_Toc25860345"/>
      <w:bookmarkStart w:id="16" w:name="_Toc7309"/>
      <w:bookmarkStart w:id="17" w:name="_Toc23259360"/>
      <w:r>
        <w:rPr>
          <w:rFonts w:hint="eastAsia" w:eastAsia="宋体"/>
          <w:sz w:val="30"/>
          <w:szCs w:val="30"/>
        </w:rPr>
        <w:t>第一章  招标介绍及要求</w:t>
      </w:r>
      <w:bookmarkEnd w:id="12"/>
      <w:bookmarkEnd w:id="13"/>
      <w:bookmarkEnd w:id="14"/>
      <w:bookmarkEnd w:id="15"/>
      <w:bookmarkEnd w:id="16"/>
      <w:bookmarkEnd w:id="17"/>
    </w:p>
    <w:p>
      <w:pPr>
        <w:numPr>
          <w:ilvl w:val="0"/>
          <w:numId w:val="10"/>
        </w:numPr>
        <w:tabs>
          <w:tab w:val="left" w:pos="426"/>
        </w:tabs>
        <w:spacing w:line="360" w:lineRule="auto"/>
        <w:ind w:left="0" w:firstLine="0"/>
        <w:outlineLvl w:val="2"/>
        <w:rPr>
          <w:rFonts w:ascii="宋体" w:hAnsi="宋体"/>
        </w:rPr>
      </w:pPr>
      <w:bookmarkStart w:id="18" w:name="_Toc52888920"/>
      <w:r>
        <w:rPr>
          <w:rFonts w:hint="eastAsia" w:ascii="宋体" w:hAnsi="宋体"/>
          <w:b/>
        </w:rPr>
        <w:t>招标方式</w:t>
      </w:r>
      <w:bookmarkEnd w:id="18"/>
    </w:p>
    <w:p>
      <w:pPr>
        <w:pStyle w:val="2"/>
        <w:spacing w:line="360" w:lineRule="auto"/>
        <w:ind w:firstLine="454"/>
        <w:rPr>
          <w:rFonts w:hAnsi="宋体"/>
          <w:b/>
        </w:rPr>
      </w:pPr>
      <w:r>
        <w:rPr>
          <w:rFonts w:hint="eastAsia" w:hAnsi="宋体"/>
          <w:b/>
        </w:rPr>
        <w:tab/>
      </w:r>
      <w:r>
        <w:rPr>
          <w:rFonts w:hint="eastAsia" w:hAnsi="宋体"/>
          <w:b/>
        </w:rPr>
        <w:tab/>
      </w:r>
      <w:r>
        <w:rPr>
          <w:rFonts w:hint="eastAsia" w:hAnsi="宋体"/>
          <w:b/>
        </w:rPr>
        <w:t>邀请招标</w:t>
      </w:r>
    </w:p>
    <w:p>
      <w:pPr>
        <w:pStyle w:val="2"/>
        <w:spacing w:line="360" w:lineRule="auto"/>
        <w:ind w:firstLine="454"/>
        <w:rPr>
          <w:rFonts w:hAnsi="宋体"/>
          <w:color w:val="000000"/>
          <w:szCs w:val="24"/>
        </w:rPr>
      </w:pPr>
      <w:r>
        <w:rPr>
          <w:rFonts w:hAnsi="宋体"/>
          <w:color w:val="000000"/>
          <w:szCs w:val="24"/>
        </w:rPr>
        <w:t>招标分为技术标和商务标两个阶段</w:t>
      </w:r>
      <w:r>
        <w:rPr>
          <w:rFonts w:hint="eastAsia" w:hAnsi="宋体"/>
          <w:color w:val="000000"/>
          <w:szCs w:val="24"/>
        </w:rPr>
        <w:t>。</w:t>
      </w:r>
    </w:p>
    <w:p>
      <w:pPr>
        <w:pStyle w:val="2"/>
        <w:spacing w:line="360" w:lineRule="auto"/>
        <w:ind w:firstLine="454"/>
        <w:rPr>
          <w:rFonts w:hAnsi="宋体"/>
          <w:color w:val="000000"/>
          <w:szCs w:val="24"/>
        </w:rPr>
      </w:pPr>
      <w:r>
        <w:rPr>
          <w:rFonts w:hint="eastAsia" w:hAnsi="宋体"/>
          <w:color w:val="000000"/>
          <w:szCs w:val="24"/>
        </w:rPr>
        <w:t>首先是技术标阶段。投标方根据本招标文件的要求编写投标文件，招标方对投标文件进行综合评价（商务部分在技术标环节暂不做评分，技术标书不必提供商务标内容），选出投标文件符合要求的系统实施商，如果需要的话，邀请其在特定时间内为评标委员会成员讲解方案。最后由评标委员会选出入围方进入商务标环节。</w:t>
      </w:r>
    </w:p>
    <w:p>
      <w:pPr>
        <w:pStyle w:val="2"/>
        <w:spacing w:line="360" w:lineRule="auto"/>
        <w:ind w:firstLine="454"/>
        <w:rPr>
          <w:rFonts w:hAnsi="宋体"/>
          <w:color w:val="000000"/>
          <w:szCs w:val="24"/>
        </w:rPr>
      </w:pPr>
      <w:r>
        <w:rPr>
          <w:rFonts w:hint="eastAsia" w:hAnsi="宋体"/>
          <w:color w:val="000000"/>
          <w:szCs w:val="24"/>
        </w:rPr>
        <w:t>接下来，入围方接续进入商务标环节。招标方将就本项目与入围方进行商务谈判，就价格、资源保障、系统范围、售后服务等细节进一步沟通。具体以兴发铝业流程与信息中心与采购中心要求为准。</w:t>
      </w:r>
    </w:p>
    <w:p>
      <w:pPr>
        <w:pStyle w:val="2"/>
      </w:pPr>
    </w:p>
    <w:p>
      <w:pPr>
        <w:numPr>
          <w:ilvl w:val="0"/>
          <w:numId w:val="10"/>
        </w:numPr>
        <w:tabs>
          <w:tab w:val="left" w:pos="426"/>
        </w:tabs>
        <w:spacing w:line="360" w:lineRule="auto"/>
        <w:ind w:left="0" w:firstLine="0"/>
        <w:outlineLvl w:val="2"/>
      </w:pPr>
      <w:bookmarkStart w:id="19" w:name="_Toc125217110"/>
      <w:bookmarkStart w:id="20" w:name="_Toc52888921"/>
      <w:bookmarkStart w:id="21" w:name="_Toc12263013"/>
      <w:bookmarkStart w:id="22" w:name="_Toc125855736"/>
      <w:r>
        <w:rPr>
          <w:rFonts w:hint="eastAsia" w:ascii="宋体" w:hAnsi="宋体"/>
          <w:b/>
        </w:rPr>
        <w:t>定义</w:t>
      </w:r>
      <w:bookmarkEnd w:id="19"/>
      <w:bookmarkEnd w:id="20"/>
      <w:bookmarkEnd w:id="21"/>
      <w:bookmarkEnd w:id="22"/>
    </w:p>
    <w:p>
      <w:pPr>
        <w:pStyle w:val="2"/>
        <w:numPr>
          <w:ilvl w:val="0"/>
          <w:numId w:val="11"/>
        </w:numPr>
        <w:adjustRightInd w:val="0"/>
        <w:spacing w:after="120" w:line="360" w:lineRule="auto"/>
        <w:textAlignment w:val="baseline"/>
        <w:rPr>
          <w:rFonts w:hAnsi="宋体"/>
          <w:color w:val="000000"/>
          <w:szCs w:val="24"/>
        </w:rPr>
      </w:pPr>
      <w:r>
        <w:rPr>
          <w:rFonts w:hint="eastAsia" w:hAnsi="宋体"/>
          <w:color w:val="000000"/>
          <w:szCs w:val="24"/>
        </w:rPr>
        <w:t>“招标人”系</w:t>
      </w:r>
      <w:r>
        <w:rPr>
          <w:rFonts w:hint="eastAsia"/>
        </w:rPr>
        <w:t>广东兴发铝业有限公司</w:t>
      </w:r>
      <w:r>
        <w:rPr>
          <w:rFonts w:hint="eastAsia" w:hAnsi="宋体"/>
          <w:color w:val="000000"/>
          <w:szCs w:val="24"/>
        </w:rPr>
        <w:t>。</w:t>
      </w:r>
    </w:p>
    <w:p>
      <w:pPr>
        <w:pStyle w:val="2"/>
        <w:numPr>
          <w:ilvl w:val="0"/>
          <w:numId w:val="11"/>
        </w:numPr>
        <w:adjustRightInd w:val="0"/>
        <w:spacing w:after="120" w:line="360" w:lineRule="auto"/>
        <w:textAlignment w:val="baseline"/>
        <w:rPr>
          <w:rFonts w:hAnsi="宋体"/>
          <w:color w:val="000000"/>
          <w:szCs w:val="24"/>
        </w:rPr>
      </w:pPr>
      <w:r>
        <w:rPr>
          <w:rFonts w:hint="eastAsia" w:hAnsi="宋体"/>
          <w:color w:val="000000"/>
          <w:szCs w:val="24"/>
        </w:rPr>
        <w:t>“投标人”系指受到投标邀请并向招标人提供投标文件的系统实施商。</w:t>
      </w:r>
    </w:p>
    <w:p>
      <w:pPr>
        <w:pStyle w:val="2"/>
        <w:numPr>
          <w:ilvl w:val="0"/>
          <w:numId w:val="11"/>
        </w:numPr>
        <w:adjustRightInd w:val="0"/>
        <w:spacing w:after="120" w:line="360" w:lineRule="auto"/>
        <w:textAlignment w:val="baseline"/>
        <w:rPr>
          <w:rFonts w:hAnsi="宋体"/>
          <w:b/>
          <w:bCs/>
          <w:color w:val="000000"/>
          <w:szCs w:val="24"/>
        </w:rPr>
      </w:pPr>
      <w:r>
        <w:rPr>
          <w:rFonts w:hint="eastAsia" w:hAnsi="宋体"/>
          <w:color w:val="000000"/>
          <w:szCs w:val="24"/>
        </w:rPr>
        <w:t xml:space="preserve"> “产品”系指投标人按招标文件规定，须向招标人提供的一切应用程序及源码、数据库脚本、数据库库表结构、各类数据模型、需求说明书、设计文件、技术手册、操作手册、培训手册、配置手册、发布说明文挡及其它有关技术资料和材料。</w:t>
      </w:r>
    </w:p>
    <w:p>
      <w:pPr>
        <w:pStyle w:val="2"/>
        <w:numPr>
          <w:ilvl w:val="0"/>
          <w:numId w:val="11"/>
        </w:numPr>
        <w:adjustRightInd w:val="0"/>
        <w:spacing w:after="120" w:line="360" w:lineRule="auto"/>
        <w:textAlignment w:val="baseline"/>
        <w:rPr>
          <w:rFonts w:hAnsi="宋体"/>
          <w:b/>
          <w:bCs/>
          <w:color w:val="000000"/>
          <w:szCs w:val="24"/>
        </w:rPr>
      </w:pPr>
      <w:r>
        <w:rPr>
          <w:rFonts w:hint="eastAsia" w:hAnsi="宋体"/>
          <w:color w:val="000000"/>
          <w:szCs w:val="24"/>
        </w:rPr>
        <w:t>“服务”系指招标文件规定投标人须免费（或收费）承担的安装、指导、调试、开通、技术协助、培训以及其他类似的义务。服务又具体包括如下几种：</w:t>
      </w:r>
    </w:p>
    <w:p>
      <w:pPr>
        <w:pStyle w:val="2"/>
        <w:numPr>
          <w:ilvl w:val="1"/>
          <w:numId w:val="12"/>
        </w:numPr>
        <w:adjustRightInd w:val="0"/>
        <w:spacing w:after="120" w:line="360" w:lineRule="auto"/>
        <w:textAlignment w:val="baseline"/>
        <w:rPr>
          <w:rFonts w:hAnsi="宋体"/>
          <w:b/>
          <w:bCs/>
          <w:color w:val="000000"/>
          <w:szCs w:val="24"/>
        </w:rPr>
      </w:pPr>
      <w:r>
        <w:rPr>
          <w:rFonts w:hint="eastAsia" w:hAnsi="宋体"/>
          <w:color w:val="000000"/>
          <w:szCs w:val="24"/>
        </w:rPr>
        <w:t>“电话/远程支持服务”系指投标人将为招标人提供响应电话和远程服务。当招标人遇到系统故障后</w:t>
      </w:r>
      <w:r>
        <w:rPr>
          <w:rFonts w:hAnsi="宋体"/>
          <w:color w:val="000000"/>
          <w:szCs w:val="24"/>
        </w:rPr>
        <w:t>,</w:t>
      </w:r>
      <w:r>
        <w:rPr>
          <w:rFonts w:hint="eastAsia" w:hAnsi="宋体"/>
          <w:color w:val="000000"/>
          <w:szCs w:val="24"/>
        </w:rPr>
        <w:t xml:space="preserve"> 可直接拨打投标人提供的响应电话，并提供故障现象等信息以要求投标人提供免费服务。响应人员在接到招标人电话后会指派技术人员向招标人提供电话诊断、远程连接及现场服务。技术人员首先将通过电话诊断或远程连接解决问题，若故障无法解决，投标方工程师将到招标人现场提供现场支持服务。</w:t>
      </w:r>
    </w:p>
    <w:p>
      <w:pPr>
        <w:pStyle w:val="2"/>
        <w:numPr>
          <w:ilvl w:val="1"/>
          <w:numId w:val="12"/>
        </w:numPr>
        <w:adjustRightInd w:val="0"/>
        <w:spacing w:after="120" w:line="360" w:lineRule="auto"/>
        <w:textAlignment w:val="baseline"/>
        <w:rPr>
          <w:rFonts w:hAnsi="宋体"/>
          <w:color w:val="000000"/>
          <w:szCs w:val="24"/>
        </w:rPr>
      </w:pPr>
      <w:r>
        <w:rPr>
          <w:rFonts w:hint="eastAsia" w:hAnsi="宋体"/>
          <w:color w:val="000000"/>
          <w:szCs w:val="24"/>
        </w:rPr>
        <w:t>“现场支持服务”系指投标人根据招标人所在地，为招标人提供现场解决支持，如果招标人的招标产品问题无法通过电话解决，投标人将于4小时内派技术人员到达招标产品现场进行系统维护，对于现场不能解决的故障，投标人应采用其它方法保证在招标产品故障申报起24小时内对招标产品故障进行修复。</w:t>
      </w:r>
    </w:p>
    <w:p>
      <w:pPr>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23" w:name="_Toc52888922"/>
      <w:r>
        <w:rPr>
          <w:rFonts w:hint="eastAsia" w:ascii="宋体" w:hAnsi="宋体"/>
          <w:b/>
        </w:rPr>
        <w:t>投标人条件</w:t>
      </w:r>
      <w:bookmarkEnd w:id="23"/>
    </w:p>
    <w:p>
      <w:pPr>
        <w:numPr>
          <w:ilvl w:val="0"/>
          <w:numId w:val="13"/>
        </w:numPr>
        <w:spacing w:line="360" w:lineRule="auto"/>
        <w:rPr>
          <w:rFonts w:ascii="宋体" w:hAnsi="宋体" w:cs="宋体"/>
          <w:szCs w:val="21"/>
        </w:rPr>
      </w:pPr>
      <w:r>
        <w:rPr>
          <w:rFonts w:hint="eastAsia" w:ascii="宋体" w:hAnsi="宋体" w:cs="宋体"/>
          <w:szCs w:val="21"/>
        </w:rPr>
        <w:t>本次投标单位必须获得产品（服务器）制造商</w:t>
      </w:r>
      <w:r>
        <w:rPr>
          <w:rFonts w:ascii="宋体" w:hAnsi="宋体" w:cs="宋体"/>
          <w:szCs w:val="21"/>
        </w:rPr>
        <w:t>对本次招标的</w:t>
      </w:r>
      <w:r>
        <w:rPr>
          <w:rFonts w:hint="eastAsia" w:ascii="宋体" w:hAnsi="宋体" w:cs="宋体"/>
          <w:szCs w:val="21"/>
        </w:rPr>
        <w:t>销售许可</w:t>
      </w:r>
      <w:r>
        <w:rPr>
          <w:rFonts w:ascii="宋体" w:hAnsi="宋体" w:cs="宋体"/>
          <w:szCs w:val="21"/>
        </w:rPr>
        <w:t>；</w:t>
      </w:r>
      <w:r>
        <w:rPr>
          <w:rFonts w:hint="eastAsia" w:ascii="宋体" w:hAnsi="宋体" w:cs="宋体"/>
          <w:szCs w:val="21"/>
        </w:rPr>
        <w:t>为保证公平公证，个别垄断类产品为保护经销商及产品利益采取指定授权行为，允许本次硬件产品中标之后提供产品制造商的招标授权及销售许可。</w:t>
      </w:r>
    </w:p>
    <w:p>
      <w:pPr>
        <w:pStyle w:val="2"/>
        <w:numPr>
          <w:ilvl w:val="0"/>
          <w:numId w:val="13"/>
        </w:numPr>
        <w:adjustRightInd w:val="0"/>
        <w:spacing w:after="120" w:line="360" w:lineRule="auto"/>
        <w:textAlignment w:val="baseline"/>
        <w:rPr>
          <w:rFonts w:hAnsi="宋体"/>
          <w:color w:val="000000"/>
          <w:szCs w:val="24"/>
        </w:rPr>
      </w:pPr>
      <w:r>
        <w:rPr>
          <w:rFonts w:hint="eastAsia" w:hAnsi="宋体"/>
          <w:color w:val="000000"/>
          <w:szCs w:val="24"/>
        </w:rPr>
        <w:t>具有</w:t>
      </w:r>
      <w:r>
        <w:rPr>
          <w:rFonts w:hAnsi="宋体"/>
          <w:color w:val="000000"/>
          <w:szCs w:val="24"/>
        </w:rPr>
        <w:t>3</w:t>
      </w:r>
      <w:r>
        <w:rPr>
          <w:rFonts w:hint="eastAsia" w:hAnsi="宋体"/>
          <w:color w:val="000000"/>
          <w:szCs w:val="24"/>
        </w:rPr>
        <w:t>个及以上机房硬件供应服务项目成功实施案例。</w:t>
      </w:r>
    </w:p>
    <w:p>
      <w:pPr>
        <w:pStyle w:val="2"/>
        <w:numPr>
          <w:ilvl w:val="0"/>
          <w:numId w:val="13"/>
        </w:numPr>
        <w:adjustRightInd w:val="0"/>
        <w:spacing w:after="120" w:line="360" w:lineRule="auto"/>
        <w:textAlignment w:val="baseline"/>
        <w:rPr>
          <w:rFonts w:hAnsi="宋体"/>
          <w:color w:val="000000"/>
          <w:szCs w:val="24"/>
        </w:rPr>
      </w:pPr>
      <w:r>
        <w:rPr>
          <w:rFonts w:hint="eastAsia" w:hAnsi="宋体"/>
          <w:szCs w:val="21"/>
        </w:rPr>
        <w:t xml:space="preserve">投标方具有相关部门颁发的资质证明文件，用于支持 </w:t>
      </w:r>
      <w:r>
        <w:rPr>
          <w:rFonts w:hint="eastAsia" w:hAnsi="宋体"/>
          <w:color w:val="000000"/>
          <w:szCs w:val="24"/>
        </w:rPr>
        <w:t>公司技术人员队伍实力雄厚、资源稳定、经营业绩良好，企业形象良好。</w:t>
      </w:r>
    </w:p>
    <w:p>
      <w:pPr>
        <w:numPr>
          <w:ilvl w:val="0"/>
          <w:numId w:val="13"/>
        </w:numPr>
        <w:tabs>
          <w:tab w:val="left" w:pos="540"/>
        </w:tabs>
        <w:adjustRightInd w:val="0"/>
        <w:spacing w:line="380" w:lineRule="atLeast"/>
        <w:textAlignment w:val="baseline"/>
        <w:rPr>
          <w:rFonts w:ascii="宋体" w:hAnsi="宋体" w:cs="宋体"/>
          <w:szCs w:val="21"/>
        </w:rPr>
      </w:pPr>
      <w:r>
        <w:rPr>
          <w:rFonts w:hint="eastAsia" w:ascii="宋体" w:hAnsi="宋体" w:cs="宋体"/>
          <w:szCs w:val="21"/>
        </w:rPr>
        <w:t>投标方工商注册资金要求在</w:t>
      </w:r>
      <w:r>
        <w:rPr>
          <w:rFonts w:ascii="宋体" w:hAnsi="宋体" w:cs="宋体"/>
          <w:szCs w:val="21"/>
        </w:rPr>
        <w:t>500</w:t>
      </w:r>
      <w:r>
        <w:rPr>
          <w:rFonts w:hint="eastAsia" w:ascii="宋体" w:hAnsi="宋体" w:cs="宋体"/>
          <w:szCs w:val="21"/>
        </w:rPr>
        <w:t>万元（含）以上。</w:t>
      </w:r>
    </w:p>
    <w:p>
      <w:pPr>
        <w:numPr>
          <w:ilvl w:val="0"/>
          <w:numId w:val="13"/>
        </w:numPr>
        <w:tabs>
          <w:tab w:val="left" w:pos="540"/>
        </w:tabs>
        <w:adjustRightInd w:val="0"/>
        <w:spacing w:line="380" w:lineRule="atLeast"/>
        <w:textAlignment w:val="baseline"/>
        <w:rPr>
          <w:rFonts w:ascii="宋体" w:hAnsi="宋体" w:cs="宋体"/>
          <w:szCs w:val="21"/>
        </w:rPr>
      </w:pPr>
      <w:r>
        <w:rPr>
          <w:rFonts w:hint="eastAsia" w:ascii="宋体" w:hAnsi="宋体" w:cs="宋体"/>
          <w:szCs w:val="21"/>
        </w:rPr>
        <w:t>在广州或佛山地区必须具有服务队伍，且能够提供及时的技术服务；</w:t>
      </w:r>
    </w:p>
    <w:p>
      <w:pPr>
        <w:numPr>
          <w:ilvl w:val="0"/>
          <w:numId w:val="13"/>
        </w:numPr>
        <w:tabs>
          <w:tab w:val="left" w:pos="540"/>
        </w:tabs>
        <w:adjustRightInd w:val="0"/>
        <w:spacing w:line="380" w:lineRule="atLeast"/>
        <w:textAlignment w:val="baseline"/>
        <w:rPr>
          <w:rFonts w:ascii="宋体" w:hAnsi="宋体" w:cs="宋体"/>
          <w:szCs w:val="21"/>
        </w:rPr>
      </w:pPr>
      <w:r>
        <w:rPr>
          <w:rFonts w:ascii="宋体" w:hAnsi="宋体" w:cs="宋体"/>
          <w:szCs w:val="21"/>
        </w:rPr>
        <w:t>本项目不接受投标人对本项目中标后进行的分包、转包行为。</w:t>
      </w:r>
    </w:p>
    <w:p>
      <w:pPr>
        <w:pStyle w:val="2"/>
      </w:pPr>
    </w:p>
    <w:p>
      <w:pPr>
        <w:numPr>
          <w:ilvl w:val="0"/>
          <w:numId w:val="10"/>
        </w:numPr>
        <w:tabs>
          <w:tab w:val="left" w:pos="426"/>
        </w:tabs>
        <w:spacing w:line="360" w:lineRule="auto"/>
        <w:ind w:left="0" w:firstLine="0"/>
        <w:outlineLvl w:val="2"/>
      </w:pPr>
      <w:bookmarkStart w:id="24" w:name="_Toc52888923"/>
      <w:bookmarkStart w:id="25" w:name="_Toc125855735"/>
      <w:bookmarkStart w:id="26" w:name="_Toc12263012"/>
      <w:bookmarkStart w:id="27" w:name="_Toc125217109"/>
      <w:r>
        <w:rPr>
          <w:rFonts w:hint="eastAsia" w:ascii="宋体" w:hAnsi="宋体"/>
          <w:b/>
        </w:rPr>
        <w:t>招标方式</w:t>
      </w:r>
      <w:bookmarkEnd w:id="24"/>
      <w:bookmarkEnd w:id="25"/>
      <w:bookmarkEnd w:id="26"/>
      <w:bookmarkEnd w:id="27"/>
    </w:p>
    <w:p>
      <w:pPr>
        <w:pStyle w:val="2"/>
        <w:spacing w:line="360" w:lineRule="auto"/>
        <w:ind w:firstLine="454"/>
        <w:rPr>
          <w:rFonts w:hAnsi="宋体"/>
          <w:color w:val="000000"/>
          <w:szCs w:val="24"/>
        </w:rPr>
      </w:pPr>
      <w:r>
        <w:rPr>
          <w:rFonts w:hAnsi="宋体"/>
          <w:color w:val="000000"/>
          <w:szCs w:val="24"/>
        </w:rPr>
        <w:t>招标分为技术标和商务标两个阶段</w:t>
      </w:r>
      <w:r>
        <w:rPr>
          <w:rFonts w:hint="eastAsia" w:hAnsi="宋体"/>
          <w:color w:val="000000"/>
          <w:szCs w:val="24"/>
        </w:rPr>
        <w:t>。</w:t>
      </w:r>
    </w:p>
    <w:p>
      <w:pPr>
        <w:pStyle w:val="2"/>
        <w:spacing w:line="360" w:lineRule="auto"/>
        <w:ind w:firstLine="454"/>
        <w:rPr>
          <w:rFonts w:hAnsi="宋体"/>
          <w:color w:val="000000"/>
          <w:szCs w:val="24"/>
        </w:rPr>
      </w:pPr>
      <w:r>
        <w:rPr>
          <w:rFonts w:hint="eastAsia" w:hAnsi="宋体"/>
          <w:color w:val="000000"/>
          <w:szCs w:val="24"/>
        </w:rPr>
        <w:t>首先是技术标阶段。投标方根据本招标文件的要求编写投标文件，招标方对投标文件进行综合评价（商务部分在技术标环节暂不做评分，技术标书不必提供商务标内容），选出投标文件符合要求的系统实施商，如果需要的话，邀请其在特定时间内为评标委员会成员讲解方案。最后由评标委员会选出入围方进入商务标环节。</w:t>
      </w:r>
    </w:p>
    <w:p>
      <w:pPr>
        <w:pStyle w:val="2"/>
        <w:spacing w:line="360" w:lineRule="auto"/>
        <w:ind w:firstLine="454"/>
        <w:rPr>
          <w:rFonts w:hAnsi="宋体"/>
          <w:color w:val="000000"/>
          <w:szCs w:val="24"/>
        </w:rPr>
      </w:pPr>
      <w:r>
        <w:rPr>
          <w:rFonts w:hint="eastAsia" w:hAnsi="宋体"/>
          <w:color w:val="000000"/>
          <w:szCs w:val="24"/>
        </w:rPr>
        <w:t>接下来，入围方接着进入商务标环节。招标方将就本项目与入围方进行商务谈判，就价格、资源保障、系统范围、售后服务等细节进一步沟通。具体以兴发铝业流程与信息中心与采购中心要求为准。</w:t>
      </w:r>
    </w:p>
    <w:p>
      <w:pPr>
        <w:pStyle w:val="2"/>
        <w:spacing w:line="360" w:lineRule="auto"/>
        <w:ind w:firstLine="454"/>
        <w:rPr>
          <w:rFonts w:hAnsi="宋体"/>
          <w:color w:val="000000"/>
          <w:szCs w:val="24"/>
        </w:rPr>
      </w:pPr>
    </w:p>
    <w:p>
      <w:pPr>
        <w:numPr>
          <w:ilvl w:val="0"/>
          <w:numId w:val="10"/>
        </w:numPr>
        <w:tabs>
          <w:tab w:val="left" w:pos="426"/>
        </w:tabs>
        <w:spacing w:line="360" w:lineRule="auto"/>
        <w:ind w:left="0" w:firstLine="0"/>
        <w:outlineLvl w:val="2"/>
        <w:rPr>
          <w:rFonts w:ascii="宋体" w:hAnsi="宋体"/>
          <w:b/>
        </w:rPr>
      </w:pPr>
      <w:bookmarkStart w:id="28" w:name="_Toc52888924"/>
      <w:bookmarkStart w:id="29" w:name="_Toc125855766"/>
      <w:bookmarkStart w:id="30" w:name="_Toc125217140"/>
      <w:bookmarkStart w:id="31" w:name="_Toc12263040"/>
      <w:r>
        <w:rPr>
          <w:rFonts w:hint="eastAsia" w:ascii="宋体" w:hAnsi="宋体"/>
          <w:b/>
        </w:rPr>
        <w:t>对投标文件的评估和比较</w:t>
      </w:r>
      <w:bookmarkEnd w:id="28"/>
      <w:bookmarkEnd w:id="29"/>
      <w:bookmarkEnd w:id="30"/>
      <w:bookmarkEnd w:id="31"/>
    </w:p>
    <w:p>
      <w:pPr>
        <w:pStyle w:val="2"/>
        <w:numPr>
          <w:ilvl w:val="0"/>
          <w:numId w:val="14"/>
        </w:numPr>
        <w:tabs>
          <w:tab w:val="left" w:pos="720"/>
          <w:tab w:val="clear" w:pos="360"/>
        </w:tabs>
        <w:adjustRightInd w:val="0"/>
        <w:spacing w:after="120" w:line="360" w:lineRule="auto"/>
        <w:ind w:left="359" w:leftChars="171"/>
        <w:textAlignment w:val="baseline"/>
        <w:rPr>
          <w:rFonts w:hAnsi="宋体"/>
          <w:color w:val="000000"/>
          <w:szCs w:val="24"/>
        </w:rPr>
      </w:pPr>
      <w:r>
        <w:rPr>
          <w:rFonts w:hint="eastAsia" w:hAnsi="宋体"/>
          <w:color w:val="000000"/>
          <w:szCs w:val="24"/>
        </w:rPr>
        <w:t>招标人及其组织的评标小组将对实质性响应的投标文件进行评估和比较。</w:t>
      </w:r>
    </w:p>
    <w:p>
      <w:pPr>
        <w:pStyle w:val="2"/>
        <w:numPr>
          <w:ilvl w:val="0"/>
          <w:numId w:val="14"/>
        </w:numPr>
        <w:tabs>
          <w:tab w:val="left" w:pos="720"/>
          <w:tab w:val="clear" w:pos="360"/>
        </w:tabs>
        <w:adjustRightInd w:val="0"/>
        <w:spacing w:after="120" w:line="360" w:lineRule="auto"/>
        <w:ind w:left="359" w:leftChars="171"/>
        <w:textAlignment w:val="baseline"/>
        <w:rPr>
          <w:rFonts w:hAnsi="宋体"/>
          <w:color w:val="000000"/>
          <w:szCs w:val="24"/>
        </w:rPr>
      </w:pPr>
      <w:r>
        <w:rPr>
          <w:rFonts w:hint="eastAsia" w:hAnsi="宋体"/>
          <w:color w:val="000000"/>
          <w:szCs w:val="24"/>
        </w:rPr>
        <w:t>评标时除考虑投标价外，还将考虑以下因素：</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参与团队的综合实施能力以及遇到风险超出团队能力以外的支持因素；</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实施服务商的珠三角地区本地化资源配备情况、团队的稳定性、资源保障</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售后服务能够提供整体备件或是重要配件放置甲方使用区域</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前期已进行过的评估的综合因素；</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技术架构、功能模块、性能指标和扩展能力；</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各种配套资料的齐全性；</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投标人对产品安装、调试、开通的能力和时间性要求；</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投标人在中华人民共和国境内为其所供产品提供客户化及售后服务的可能性；</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技术规格所要求的有关服务的费用；</w:t>
      </w:r>
    </w:p>
    <w:p>
      <w:pPr>
        <w:pStyle w:val="2"/>
        <w:numPr>
          <w:ilvl w:val="0"/>
          <w:numId w:val="15"/>
        </w:numPr>
        <w:tabs>
          <w:tab w:val="left" w:pos="1080"/>
          <w:tab w:val="clear" w:pos="720"/>
        </w:tabs>
        <w:adjustRightInd w:val="0"/>
        <w:spacing w:after="120" w:line="360" w:lineRule="auto"/>
        <w:ind w:left="720" w:leftChars="343"/>
        <w:textAlignment w:val="baseline"/>
        <w:rPr>
          <w:rFonts w:hAnsi="宋体"/>
          <w:color w:val="000000"/>
          <w:szCs w:val="24"/>
        </w:rPr>
      </w:pPr>
      <w:r>
        <w:rPr>
          <w:rFonts w:hint="eastAsia" w:hAnsi="宋体"/>
          <w:color w:val="000000"/>
          <w:szCs w:val="24"/>
        </w:rPr>
        <w:t>其他特殊要求因素（如安全及环保等）。</w:t>
      </w:r>
    </w:p>
    <w:p>
      <w:pPr>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32" w:name="_Toc52888925"/>
      <w:r>
        <w:rPr>
          <w:rFonts w:hint="eastAsia" w:ascii="宋体" w:hAnsi="宋体"/>
          <w:b/>
        </w:rPr>
        <w:t>投标费用</w:t>
      </w:r>
      <w:bookmarkEnd w:id="32"/>
    </w:p>
    <w:p>
      <w:pPr>
        <w:numPr>
          <w:ilvl w:val="0"/>
          <w:numId w:val="16"/>
        </w:numPr>
        <w:spacing w:line="360" w:lineRule="auto"/>
        <w:ind w:left="374" w:hanging="373" w:hangingChars="178"/>
        <w:rPr>
          <w:rFonts w:ascii="宋体" w:hAnsi="宋体"/>
        </w:rPr>
      </w:pPr>
      <w:r>
        <w:rPr>
          <w:rFonts w:hint="eastAsia" w:ascii="宋体" w:hAnsi="宋体"/>
        </w:rPr>
        <w:t>投标人应承担本次投标编制投标文件、制作样板所涉及的一切费用。不论投标结果如何，招标人对上述费用不负任何责任。</w:t>
      </w:r>
    </w:p>
    <w:p>
      <w:pPr>
        <w:numPr>
          <w:ilvl w:val="0"/>
          <w:numId w:val="16"/>
        </w:numPr>
        <w:spacing w:line="360" w:lineRule="auto"/>
        <w:ind w:left="374" w:hanging="373" w:hangingChars="178"/>
        <w:rPr>
          <w:rFonts w:ascii="宋体" w:hAnsi="宋体"/>
        </w:rPr>
      </w:pPr>
      <w:r>
        <w:rPr>
          <w:rFonts w:hint="eastAsia" w:ascii="宋体" w:hAnsi="宋体"/>
        </w:rPr>
        <w:t>不论投标结果任何，投标人提交的所有投标资料不退回。</w:t>
      </w:r>
    </w:p>
    <w:p>
      <w:pPr>
        <w:tabs>
          <w:tab w:val="left" w:pos="709"/>
        </w:tabs>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33" w:name="_Toc52888926"/>
      <w:r>
        <w:rPr>
          <w:rFonts w:hint="eastAsia" w:ascii="宋体" w:hAnsi="宋体"/>
          <w:b/>
        </w:rPr>
        <w:t>招标文件的组成、解释、修改及补充</w:t>
      </w:r>
      <w:bookmarkEnd w:id="33"/>
    </w:p>
    <w:p>
      <w:pPr>
        <w:numPr>
          <w:ilvl w:val="0"/>
          <w:numId w:val="17"/>
        </w:numPr>
        <w:spacing w:line="360" w:lineRule="auto"/>
        <w:ind w:left="0" w:firstLine="0"/>
        <w:outlineLvl w:val="3"/>
        <w:rPr>
          <w:rFonts w:ascii="宋体" w:hAnsi="宋体"/>
          <w:b/>
        </w:rPr>
      </w:pPr>
      <w:r>
        <w:rPr>
          <w:rFonts w:hint="eastAsia" w:ascii="宋体" w:hAnsi="宋体"/>
          <w:b/>
        </w:rPr>
        <w:t>招标文件的组成</w:t>
      </w:r>
    </w:p>
    <w:p>
      <w:pPr>
        <w:numPr>
          <w:ilvl w:val="0"/>
          <w:numId w:val="18"/>
        </w:numPr>
        <w:spacing w:line="360" w:lineRule="auto"/>
        <w:ind w:left="420" w:hanging="420" w:hangingChars="200"/>
        <w:rPr>
          <w:rFonts w:ascii="宋体" w:hAnsi="宋体"/>
        </w:rPr>
      </w:pPr>
      <w:r>
        <w:rPr>
          <w:rFonts w:hint="eastAsia" w:ascii="宋体" w:hAnsi="宋体"/>
        </w:rPr>
        <w:t>招标文件文本及所有附件。</w:t>
      </w:r>
    </w:p>
    <w:p>
      <w:pPr>
        <w:numPr>
          <w:ilvl w:val="0"/>
          <w:numId w:val="18"/>
        </w:numPr>
        <w:spacing w:line="360" w:lineRule="auto"/>
        <w:ind w:left="420" w:hanging="420" w:hangingChars="200"/>
        <w:rPr>
          <w:rFonts w:ascii="宋体" w:hAnsi="宋体"/>
        </w:rPr>
      </w:pPr>
      <w:r>
        <w:rPr>
          <w:rFonts w:hint="eastAsia" w:ascii="宋体" w:hAnsi="宋体"/>
        </w:rPr>
        <w:t>项目说明、功能需求表。</w:t>
      </w:r>
    </w:p>
    <w:p>
      <w:pPr>
        <w:numPr>
          <w:ilvl w:val="0"/>
          <w:numId w:val="18"/>
        </w:numPr>
        <w:spacing w:line="360" w:lineRule="auto"/>
        <w:ind w:left="420" w:hanging="420" w:hangingChars="200"/>
        <w:rPr>
          <w:rFonts w:ascii="宋体" w:hAnsi="宋体"/>
        </w:rPr>
      </w:pPr>
      <w:r>
        <w:rPr>
          <w:rFonts w:hint="eastAsia" w:ascii="宋体" w:hAnsi="宋体"/>
        </w:rPr>
        <w:t>技术规范及行业规范。</w:t>
      </w:r>
    </w:p>
    <w:p>
      <w:pPr>
        <w:numPr>
          <w:ilvl w:val="0"/>
          <w:numId w:val="18"/>
        </w:numPr>
        <w:spacing w:line="360" w:lineRule="auto"/>
        <w:ind w:left="420" w:hanging="420" w:hangingChars="200"/>
        <w:rPr>
          <w:rFonts w:ascii="宋体" w:hAnsi="宋体"/>
        </w:rPr>
      </w:pPr>
      <w:r>
        <w:rPr>
          <w:rFonts w:hint="eastAsia" w:ascii="宋体" w:hAnsi="宋体"/>
        </w:rPr>
        <w:t>招标答疑资料。</w:t>
      </w:r>
    </w:p>
    <w:p>
      <w:pPr>
        <w:numPr>
          <w:ilvl w:val="0"/>
          <w:numId w:val="18"/>
        </w:numPr>
        <w:spacing w:line="360" w:lineRule="auto"/>
        <w:ind w:left="420" w:hanging="420" w:hangingChars="200"/>
        <w:rPr>
          <w:rFonts w:ascii="宋体" w:hAnsi="宋体"/>
          <w:b/>
        </w:rPr>
      </w:pPr>
      <w:r>
        <w:rPr>
          <w:rFonts w:hint="eastAsia" w:ascii="宋体" w:hAnsi="宋体"/>
        </w:rPr>
        <w:t>正式回标前的招标人发出的所有补充文件。</w:t>
      </w:r>
    </w:p>
    <w:p>
      <w:pPr>
        <w:numPr>
          <w:ilvl w:val="0"/>
          <w:numId w:val="17"/>
        </w:numPr>
        <w:spacing w:line="360" w:lineRule="auto"/>
        <w:ind w:left="0" w:firstLine="0"/>
        <w:outlineLvl w:val="3"/>
        <w:rPr>
          <w:rFonts w:ascii="宋体" w:hAnsi="宋体"/>
          <w:b/>
        </w:rPr>
      </w:pPr>
      <w:r>
        <w:rPr>
          <w:rFonts w:hint="eastAsia" w:ascii="宋体" w:hAnsi="宋体"/>
          <w:b/>
        </w:rPr>
        <w:t>招标文件的解释</w:t>
      </w:r>
    </w:p>
    <w:p>
      <w:pPr>
        <w:numPr>
          <w:ilvl w:val="0"/>
          <w:numId w:val="19"/>
        </w:numPr>
        <w:spacing w:line="360" w:lineRule="auto"/>
        <w:ind w:left="374" w:hanging="373" w:hangingChars="178"/>
        <w:rPr>
          <w:rFonts w:ascii="宋体" w:hAnsi="宋体"/>
        </w:rPr>
      </w:pPr>
      <w:r>
        <w:rPr>
          <w:rFonts w:hint="eastAsia" w:ascii="宋体" w:hAnsi="宋体"/>
        </w:rPr>
        <w:t>投标人在收到招标文件后，若有疑问需要澄清，应于收到招标文件后3天内以书面形式向招标人提出，招标人将在2天内以书面形式回答各投标人。</w:t>
      </w:r>
    </w:p>
    <w:p>
      <w:pPr>
        <w:numPr>
          <w:ilvl w:val="0"/>
          <w:numId w:val="19"/>
        </w:numPr>
        <w:spacing w:line="360" w:lineRule="auto"/>
        <w:ind w:left="374" w:hanging="373" w:hangingChars="178"/>
        <w:rPr>
          <w:rFonts w:ascii="宋体" w:hAnsi="宋体"/>
          <w:b/>
        </w:rPr>
      </w:pPr>
      <w:r>
        <w:rPr>
          <w:rFonts w:hint="eastAsia" w:ascii="宋体" w:hAnsi="宋体"/>
        </w:rPr>
        <w:t>如投标人在回标前无任何书面问题，则表示投标人已默认和接受招标文件。</w:t>
      </w:r>
    </w:p>
    <w:p>
      <w:pPr>
        <w:numPr>
          <w:ilvl w:val="0"/>
          <w:numId w:val="17"/>
        </w:numPr>
        <w:spacing w:line="360" w:lineRule="auto"/>
        <w:ind w:left="0" w:firstLine="0"/>
        <w:outlineLvl w:val="3"/>
        <w:rPr>
          <w:rFonts w:ascii="宋体" w:hAnsi="宋体"/>
          <w:b/>
        </w:rPr>
      </w:pPr>
      <w:r>
        <w:rPr>
          <w:rFonts w:hint="eastAsia" w:ascii="宋体" w:hAnsi="宋体"/>
          <w:b/>
        </w:rPr>
        <w:t>招标文件的修改及补充</w:t>
      </w:r>
    </w:p>
    <w:p>
      <w:pPr>
        <w:numPr>
          <w:ilvl w:val="0"/>
          <w:numId w:val="20"/>
        </w:numPr>
        <w:spacing w:line="360" w:lineRule="auto"/>
        <w:ind w:left="374" w:hanging="373" w:hangingChars="178"/>
        <w:rPr>
          <w:rFonts w:ascii="宋体" w:hAnsi="宋体"/>
        </w:rPr>
      </w:pPr>
      <w:r>
        <w:rPr>
          <w:rFonts w:hint="eastAsia" w:ascii="宋体" w:hAnsi="宋体"/>
        </w:rPr>
        <w:t>在投标截止时间前，招标人有可能以补充通知的方式修改招标文件。</w:t>
      </w:r>
    </w:p>
    <w:p>
      <w:pPr>
        <w:numPr>
          <w:ilvl w:val="0"/>
          <w:numId w:val="20"/>
        </w:numPr>
        <w:spacing w:line="360" w:lineRule="auto"/>
        <w:ind w:left="374" w:hanging="373" w:hangingChars="178"/>
        <w:rPr>
          <w:rFonts w:ascii="宋体" w:hAnsi="宋体"/>
        </w:rPr>
      </w:pPr>
      <w:r>
        <w:rPr>
          <w:rFonts w:hint="eastAsia" w:ascii="宋体" w:hAnsi="宋体"/>
        </w:rPr>
        <w:t>补充通知将以书面方式发给各投标人，补充通知作为招标文件的组成部分，对投标人起同等约束作用。招标人在发出书面通知时，投标人应及时到招标人处领取书面通知。</w:t>
      </w:r>
    </w:p>
    <w:p>
      <w:pPr>
        <w:numPr>
          <w:ilvl w:val="0"/>
          <w:numId w:val="20"/>
        </w:numPr>
        <w:spacing w:line="360" w:lineRule="auto"/>
        <w:ind w:left="374" w:hanging="373" w:hangingChars="178"/>
        <w:rPr>
          <w:rFonts w:ascii="宋体" w:hAnsi="宋体"/>
        </w:rPr>
      </w:pPr>
      <w:r>
        <w:rPr>
          <w:rFonts w:hint="eastAsia" w:ascii="宋体" w:hAnsi="宋体"/>
        </w:rPr>
        <w:t>为使投标人在编制投标文件时把补充通知内容考虑进去，招标人将可能延长递交投标文件的截止时间，具体时间将在补充通知中写明。</w:t>
      </w:r>
    </w:p>
    <w:p>
      <w:pPr>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34" w:name="_Toc52888927"/>
      <w:r>
        <w:rPr>
          <w:rFonts w:hint="eastAsia" w:ascii="宋体" w:hAnsi="宋体"/>
          <w:b/>
        </w:rPr>
        <w:t>投标文件的编制</w:t>
      </w:r>
      <w:bookmarkEnd w:id="34"/>
    </w:p>
    <w:p>
      <w:pPr>
        <w:tabs>
          <w:tab w:val="left" w:pos="567"/>
        </w:tabs>
        <w:spacing w:line="360" w:lineRule="auto"/>
        <w:rPr>
          <w:rFonts w:ascii="宋体" w:hAnsi="宋体"/>
          <w:b/>
        </w:rPr>
      </w:pPr>
      <w:r>
        <w:rPr>
          <w:rFonts w:hint="eastAsia" w:ascii="宋体" w:hAnsi="宋体"/>
          <w:b/>
        </w:rPr>
        <w:t>本次招标要求提交的投标文件包括：商务标及技术标。</w:t>
      </w:r>
    </w:p>
    <w:p>
      <w:pPr>
        <w:numPr>
          <w:ilvl w:val="0"/>
          <w:numId w:val="21"/>
        </w:numPr>
        <w:spacing w:line="360" w:lineRule="auto"/>
        <w:outlineLvl w:val="3"/>
        <w:rPr>
          <w:rFonts w:ascii="宋体" w:hAnsi="宋体"/>
          <w:b/>
        </w:rPr>
      </w:pPr>
      <w:r>
        <w:rPr>
          <w:rFonts w:hint="eastAsia" w:ascii="宋体" w:hAnsi="宋体"/>
          <w:b/>
        </w:rPr>
        <w:t>商务标内容及要求</w:t>
      </w:r>
    </w:p>
    <w:p>
      <w:pPr>
        <w:numPr>
          <w:ilvl w:val="0"/>
          <w:numId w:val="22"/>
        </w:numPr>
        <w:spacing w:line="360" w:lineRule="auto"/>
        <w:ind w:left="374" w:hanging="373" w:hangingChars="178"/>
        <w:rPr>
          <w:rFonts w:ascii="宋体" w:hAnsi="宋体"/>
        </w:rPr>
      </w:pPr>
      <w:r>
        <w:rPr>
          <w:rFonts w:hint="eastAsia" w:ascii="宋体" w:hAnsi="宋体"/>
        </w:rPr>
        <w:t>投标文件（商务标）封面（按招标文件附件1格式）。</w:t>
      </w:r>
    </w:p>
    <w:p>
      <w:pPr>
        <w:numPr>
          <w:ilvl w:val="0"/>
          <w:numId w:val="22"/>
        </w:numPr>
        <w:spacing w:line="360" w:lineRule="auto"/>
        <w:ind w:left="374" w:hanging="373" w:hangingChars="178"/>
        <w:rPr>
          <w:rFonts w:ascii="宋体" w:hAnsi="宋体"/>
        </w:rPr>
      </w:pPr>
      <w:r>
        <w:rPr>
          <w:rFonts w:hint="eastAsia" w:ascii="宋体" w:hAnsi="宋体"/>
        </w:rPr>
        <w:t>投标文件（商务标）目录（格式由投标人自行编制）。</w:t>
      </w:r>
    </w:p>
    <w:p>
      <w:pPr>
        <w:numPr>
          <w:ilvl w:val="0"/>
          <w:numId w:val="22"/>
        </w:numPr>
        <w:spacing w:line="360" w:lineRule="auto"/>
        <w:ind w:left="374" w:hanging="373" w:hangingChars="178"/>
        <w:rPr>
          <w:rFonts w:ascii="宋体" w:hAnsi="宋体"/>
        </w:rPr>
      </w:pPr>
      <w:r>
        <w:rPr>
          <w:rFonts w:hint="eastAsia" w:ascii="宋体" w:hAnsi="宋体"/>
        </w:rPr>
        <w:t>投标书（按招标文件附件3格式）。</w:t>
      </w:r>
    </w:p>
    <w:p>
      <w:pPr>
        <w:numPr>
          <w:ilvl w:val="0"/>
          <w:numId w:val="22"/>
        </w:numPr>
        <w:spacing w:line="360" w:lineRule="auto"/>
        <w:ind w:left="374" w:hanging="373" w:hangingChars="178"/>
        <w:rPr>
          <w:rFonts w:ascii="宋体" w:hAnsi="宋体"/>
        </w:rPr>
      </w:pPr>
      <w:r>
        <w:rPr>
          <w:rFonts w:hint="eastAsia" w:ascii="宋体" w:hAnsi="宋体"/>
        </w:rPr>
        <w:t>法定代表人授权书（法定代表人不到场的情况下出具，按招标文件附件4格式）。</w:t>
      </w:r>
    </w:p>
    <w:p>
      <w:pPr>
        <w:numPr>
          <w:ilvl w:val="0"/>
          <w:numId w:val="22"/>
        </w:numPr>
        <w:spacing w:line="360" w:lineRule="auto"/>
        <w:ind w:left="374" w:hanging="373" w:hangingChars="178"/>
        <w:rPr>
          <w:rFonts w:ascii="宋体" w:hAnsi="宋体"/>
        </w:rPr>
      </w:pPr>
      <w:r>
        <w:rPr>
          <w:rFonts w:hint="eastAsia" w:ascii="宋体" w:hAnsi="宋体"/>
        </w:rPr>
        <w:t>报价明细表，按excel格式制作（必须有清单且每项报价，只有整体报价的将视为废标）。</w:t>
      </w:r>
    </w:p>
    <w:p>
      <w:pPr>
        <w:numPr>
          <w:ilvl w:val="0"/>
          <w:numId w:val="22"/>
        </w:numPr>
        <w:spacing w:line="360" w:lineRule="auto"/>
        <w:ind w:left="374" w:hanging="373" w:hangingChars="178"/>
        <w:rPr>
          <w:rFonts w:ascii="宋体" w:hAnsi="宋体"/>
        </w:rPr>
      </w:pPr>
      <w:r>
        <w:rPr>
          <w:rFonts w:hint="eastAsia" w:ascii="宋体" w:hAnsi="宋体"/>
        </w:rPr>
        <w:t>主要设备材料品牌表（见附件5）</w:t>
      </w:r>
    </w:p>
    <w:p>
      <w:pPr>
        <w:numPr>
          <w:ilvl w:val="0"/>
          <w:numId w:val="21"/>
        </w:numPr>
        <w:spacing w:line="360" w:lineRule="auto"/>
        <w:ind w:left="0" w:firstLine="0"/>
        <w:outlineLvl w:val="3"/>
        <w:rPr>
          <w:rFonts w:ascii="宋体" w:hAnsi="宋体"/>
          <w:b/>
        </w:rPr>
      </w:pPr>
      <w:r>
        <w:rPr>
          <w:rFonts w:hint="eastAsia" w:ascii="宋体" w:hAnsi="宋体"/>
          <w:b/>
        </w:rPr>
        <w:t>技术标内容及要求</w:t>
      </w:r>
    </w:p>
    <w:p>
      <w:pPr>
        <w:numPr>
          <w:ilvl w:val="0"/>
          <w:numId w:val="23"/>
        </w:numPr>
        <w:spacing w:line="360" w:lineRule="auto"/>
        <w:ind w:left="374" w:hanging="373" w:hangingChars="178"/>
        <w:rPr>
          <w:rFonts w:ascii="宋体" w:hAnsi="宋体"/>
        </w:rPr>
      </w:pPr>
      <w:r>
        <w:rPr>
          <w:rFonts w:hint="eastAsia" w:ascii="宋体" w:hAnsi="宋体"/>
        </w:rPr>
        <w:t>投标文件（技术标）封面（按招标文件附件2格式）。</w:t>
      </w:r>
    </w:p>
    <w:p>
      <w:pPr>
        <w:numPr>
          <w:ilvl w:val="0"/>
          <w:numId w:val="23"/>
        </w:numPr>
        <w:spacing w:line="360" w:lineRule="auto"/>
        <w:ind w:left="374" w:hanging="373" w:hangingChars="178"/>
        <w:rPr>
          <w:rFonts w:ascii="宋体" w:hAnsi="宋体"/>
        </w:rPr>
      </w:pPr>
      <w:r>
        <w:rPr>
          <w:rFonts w:hint="eastAsia" w:ascii="宋体" w:hAnsi="宋体"/>
        </w:rPr>
        <w:t>投标文件（技术标）目录（格式由投标人自行编制）。</w:t>
      </w:r>
    </w:p>
    <w:p>
      <w:pPr>
        <w:numPr>
          <w:ilvl w:val="0"/>
          <w:numId w:val="23"/>
        </w:numPr>
        <w:spacing w:line="360" w:lineRule="auto"/>
        <w:ind w:left="374" w:hanging="373" w:hangingChars="178"/>
        <w:rPr>
          <w:rFonts w:ascii="宋体" w:hAnsi="宋体"/>
        </w:rPr>
      </w:pPr>
      <w:r>
        <w:rPr>
          <w:rFonts w:hint="eastAsia" w:ascii="宋体" w:hAnsi="宋体"/>
        </w:rPr>
        <w:t>投标文件（技术标）主要内容（格式由投标人自行编制，内容包括但不仅限于：规范，行业标准；设备需求表；设备的基本要求；技术要求；设备的制造，监造和试验；设备包装、运输和保管要求；配合其他</w:t>
      </w:r>
      <w:r>
        <w:rPr>
          <w:rFonts w:ascii="宋体" w:hAnsi="宋体"/>
        </w:rPr>
        <w:t>单位</w:t>
      </w:r>
      <w:r>
        <w:rPr>
          <w:rFonts w:hint="eastAsia" w:ascii="宋体" w:hAnsi="宋体"/>
        </w:rPr>
        <w:t>安装、调试和验收；相关技术文件和手册；质量保证和售后服务；合理化建议等）。</w:t>
      </w:r>
    </w:p>
    <w:p>
      <w:pPr>
        <w:numPr>
          <w:ilvl w:val="0"/>
          <w:numId w:val="23"/>
        </w:numPr>
        <w:spacing w:line="360" w:lineRule="auto"/>
        <w:ind w:left="374" w:hanging="373" w:hangingChars="178"/>
        <w:rPr>
          <w:rFonts w:ascii="宋体" w:hAnsi="宋体"/>
        </w:rPr>
      </w:pPr>
      <w:r>
        <w:rPr>
          <w:rFonts w:hint="eastAsia" w:ascii="宋体" w:hAnsi="宋体"/>
        </w:rPr>
        <w:t>施工组织设计：（格式由投标人自行编制，包括施工进度计划及工期保证措施、施工工艺及质量保证措施、机具人员计划、安全文明施工措施等）。</w:t>
      </w:r>
    </w:p>
    <w:p>
      <w:pPr>
        <w:numPr>
          <w:ilvl w:val="0"/>
          <w:numId w:val="23"/>
        </w:numPr>
        <w:spacing w:line="360" w:lineRule="auto"/>
        <w:ind w:left="374" w:hanging="373" w:hangingChars="178"/>
        <w:rPr>
          <w:rFonts w:ascii="宋体" w:hAnsi="宋体"/>
        </w:rPr>
      </w:pPr>
      <w:r>
        <w:rPr>
          <w:rFonts w:hint="eastAsia" w:ascii="宋体" w:hAnsi="宋体"/>
        </w:rPr>
        <w:t>投标人资质证书、技术人员力量等企业资料</w:t>
      </w:r>
    </w:p>
    <w:p>
      <w:pPr>
        <w:numPr>
          <w:ilvl w:val="0"/>
          <w:numId w:val="23"/>
        </w:numPr>
        <w:spacing w:line="360" w:lineRule="auto"/>
        <w:ind w:left="374" w:hanging="373" w:hangingChars="178"/>
        <w:rPr>
          <w:rFonts w:ascii="宋体" w:hAnsi="宋体"/>
        </w:rPr>
      </w:pPr>
      <w:r>
        <w:rPr>
          <w:rFonts w:hint="eastAsia" w:ascii="宋体" w:hAnsi="宋体"/>
        </w:rPr>
        <w:t>投标人近两年来同类产品的业绩列表及证明文件（合同）。</w:t>
      </w:r>
    </w:p>
    <w:p>
      <w:pPr>
        <w:numPr>
          <w:ilvl w:val="0"/>
          <w:numId w:val="23"/>
        </w:numPr>
        <w:spacing w:line="360" w:lineRule="auto"/>
        <w:ind w:left="374" w:hanging="373" w:hangingChars="178"/>
        <w:rPr>
          <w:rFonts w:ascii="宋体" w:hAnsi="宋体"/>
        </w:rPr>
      </w:pPr>
      <w:r>
        <w:rPr>
          <w:rFonts w:hint="eastAsia" w:ascii="宋体" w:hAnsi="宋体"/>
        </w:rPr>
        <w:t>投标人认为其他有必要资料</w:t>
      </w:r>
    </w:p>
    <w:p>
      <w:pPr>
        <w:spacing w:line="360" w:lineRule="auto"/>
        <w:rPr>
          <w:rFonts w:ascii="宋体" w:hAnsi="宋体"/>
          <w:b/>
        </w:rPr>
      </w:pPr>
    </w:p>
    <w:p>
      <w:pPr>
        <w:numPr>
          <w:ilvl w:val="0"/>
          <w:numId w:val="10"/>
        </w:numPr>
        <w:tabs>
          <w:tab w:val="left" w:pos="426"/>
        </w:tabs>
        <w:spacing w:line="360" w:lineRule="auto"/>
        <w:ind w:left="0" w:firstLine="0"/>
        <w:outlineLvl w:val="2"/>
        <w:rPr>
          <w:rFonts w:ascii="宋体" w:hAnsi="宋体"/>
          <w:b/>
        </w:rPr>
      </w:pPr>
      <w:bookmarkStart w:id="35" w:name="_Toc52888928"/>
      <w:r>
        <w:rPr>
          <w:rFonts w:hint="eastAsia" w:ascii="宋体" w:hAnsi="宋体"/>
          <w:b/>
        </w:rPr>
        <w:t>投标文件的打印、装订、签署、密封、标志及递交、修改及撤回</w:t>
      </w:r>
      <w:bookmarkEnd w:id="35"/>
    </w:p>
    <w:p>
      <w:pPr>
        <w:numPr>
          <w:ilvl w:val="0"/>
          <w:numId w:val="24"/>
        </w:numPr>
        <w:spacing w:line="360" w:lineRule="auto"/>
        <w:ind w:left="0" w:firstLine="0"/>
        <w:outlineLvl w:val="3"/>
        <w:rPr>
          <w:rFonts w:ascii="宋体" w:hAnsi="宋体"/>
          <w:b/>
        </w:rPr>
      </w:pPr>
      <w:r>
        <w:rPr>
          <w:rFonts w:hint="eastAsia" w:ascii="宋体" w:hAnsi="宋体"/>
          <w:b/>
        </w:rPr>
        <w:t>商务标的打印、装订、签署、密封及标志</w:t>
      </w:r>
    </w:p>
    <w:p>
      <w:pPr>
        <w:numPr>
          <w:ilvl w:val="0"/>
          <w:numId w:val="25"/>
        </w:numPr>
        <w:spacing w:line="360" w:lineRule="auto"/>
        <w:ind w:left="374" w:hanging="373" w:hangingChars="178"/>
        <w:rPr>
          <w:rFonts w:ascii="宋体" w:hAnsi="宋体"/>
        </w:rPr>
      </w:pPr>
      <w:r>
        <w:rPr>
          <w:rFonts w:hint="eastAsia" w:ascii="宋体" w:hAnsi="宋体"/>
        </w:rPr>
        <w:t>打印：商务标投标文件按以上第五点第（一）节要求的内容打印一式两份，正本一份、副本一份；打印纸规格要求用A4，如果报价清单为A3幅面的，须用手风琴折法折叠成A4幅面；</w:t>
      </w:r>
    </w:p>
    <w:p>
      <w:pPr>
        <w:numPr>
          <w:ilvl w:val="0"/>
          <w:numId w:val="25"/>
        </w:numPr>
        <w:spacing w:line="360" w:lineRule="auto"/>
        <w:ind w:left="374" w:hanging="373" w:hangingChars="178"/>
        <w:rPr>
          <w:rFonts w:ascii="宋体" w:hAnsi="宋体"/>
        </w:rPr>
      </w:pPr>
      <w:r>
        <w:rPr>
          <w:rFonts w:hint="eastAsia" w:ascii="宋体" w:hAnsi="宋体"/>
        </w:rPr>
        <w:t>装订：胶装。</w:t>
      </w:r>
    </w:p>
    <w:p>
      <w:pPr>
        <w:numPr>
          <w:ilvl w:val="0"/>
          <w:numId w:val="25"/>
        </w:numPr>
        <w:spacing w:line="360" w:lineRule="auto"/>
        <w:ind w:left="374" w:hanging="373" w:hangingChars="178"/>
        <w:rPr>
          <w:rFonts w:ascii="宋体" w:hAnsi="宋体"/>
        </w:rPr>
      </w:pPr>
      <w:r>
        <w:rPr>
          <w:rFonts w:hint="eastAsia" w:ascii="宋体" w:hAnsi="宋体"/>
        </w:rPr>
        <w:t>签署：商务标封面、投标书、法定代表人授权书由投标人授权代表签署（签字或盖章）并加盖投标人公章（必须为法人章，不得使用合同章及其它印章）；商务标投标文件加盖骑缝章。</w:t>
      </w:r>
    </w:p>
    <w:p>
      <w:pPr>
        <w:numPr>
          <w:ilvl w:val="0"/>
          <w:numId w:val="25"/>
        </w:numPr>
        <w:spacing w:line="360" w:lineRule="auto"/>
        <w:ind w:left="374" w:hanging="373" w:hangingChars="178"/>
        <w:rPr>
          <w:rFonts w:ascii="宋体" w:hAnsi="宋体"/>
        </w:rPr>
      </w:pPr>
      <w:r>
        <w:rPr>
          <w:rFonts w:hint="eastAsia" w:ascii="宋体" w:hAnsi="宋体"/>
        </w:rPr>
        <w:t>密封：商务标正副本用牛皮纸或牛皮纸文件袋一起密封，所有接缝处贴上封条。</w:t>
      </w:r>
    </w:p>
    <w:p>
      <w:pPr>
        <w:numPr>
          <w:ilvl w:val="0"/>
          <w:numId w:val="24"/>
        </w:numPr>
        <w:spacing w:line="360" w:lineRule="auto"/>
        <w:ind w:left="0" w:firstLine="0"/>
        <w:outlineLvl w:val="3"/>
        <w:rPr>
          <w:rFonts w:ascii="宋体" w:hAnsi="宋体"/>
          <w:b/>
        </w:rPr>
      </w:pPr>
      <w:r>
        <w:rPr>
          <w:rFonts w:hint="eastAsia" w:ascii="宋体" w:hAnsi="宋体"/>
          <w:b/>
        </w:rPr>
        <w:t>技术标的打印、装订、签署、密封及标志</w:t>
      </w:r>
    </w:p>
    <w:p>
      <w:pPr>
        <w:numPr>
          <w:ilvl w:val="0"/>
          <w:numId w:val="26"/>
        </w:numPr>
        <w:spacing w:line="360" w:lineRule="auto"/>
        <w:ind w:left="374" w:hanging="373" w:hangingChars="178"/>
        <w:rPr>
          <w:rFonts w:ascii="宋体" w:hAnsi="宋体"/>
        </w:rPr>
      </w:pPr>
      <w:r>
        <w:rPr>
          <w:rFonts w:hint="eastAsia" w:ascii="宋体" w:hAnsi="宋体"/>
        </w:rPr>
        <w:t>打印：技术标投标文件按以上第六点第（二）节要求的内容打印一式两份，正本一份、副本一份；打印纸规格要求用A4，如果技术方案为A3幅面的，须用手风琴折法折叠成A4幅面。</w:t>
      </w:r>
    </w:p>
    <w:p>
      <w:pPr>
        <w:numPr>
          <w:ilvl w:val="0"/>
          <w:numId w:val="26"/>
        </w:numPr>
        <w:spacing w:line="360" w:lineRule="auto"/>
        <w:ind w:left="374" w:hanging="373" w:hangingChars="178"/>
        <w:rPr>
          <w:rFonts w:ascii="宋体" w:hAnsi="宋体"/>
        </w:rPr>
      </w:pPr>
      <w:r>
        <w:rPr>
          <w:rFonts w:hint="eastAsia" w:ascii="宋体" w:hAnsi="宋体"/>
        </w:rPr>
        <w:t>装订：胶装。</w:t>
      </w:r>
    </w:p>
    <w:p>
      <w:pPr>
        <w:numPr>
          <w:ilvl w:val="0"/>
          <w:numId w:val="26"/>
        </w:numPr>
        <w:spacing w:line="360" w:lineRule="auto"/>
        <w:ind w:left="374" w:hanging="373" w:hangingChars="178"/>
        <w:rPr>
          <w:rFonts w:ascii="宋体" w:hAnsi="宋体"/>
        </w:rPr>
      </w:pPr>
      <w:r>
        <w:rPr>
          <w:rFonts w:hint="eastAsia" w:ascii="宋体" w:hAnsi="宋体"/>
        </w:rPr>
        <w:t>签署：技术标封面须加盖投标人公章（必须为法人章，不得使用合同章及其它印章）；技术标投标文件加盖骑缝章。</w:t>
      </w:r>
    </w:p>
    <w:p>
      <w:pPr>
        <w:numPr>
          <w:ilvl w:val="0"/>
          <w:numId w:val="26"/>
        </w:numPr>
        <w:spacing w:line="360" w:lineRule="auto"/>
        <w:ind w:left="374" w:hanging="373" w:hangingChars="178"/>
        <w:rPr>
          <w:rFonts w:ascii="宋体" w:hAnsi="宋体"/>
        </w:rPr>
      </w:pPr>
      <w:r>
        <w:rPr>
          <w:rFonts w:hint="eastAsia" w:ascii="宋体" w:hAnsi="宋体"/>
        </w:rPr>
        <w:t>密封：技术标正副本用牛皮纸或牛皮纸文件袋一起密封，所有接缝处贴上封条。</w:t>
      </w:r>
    </w:p>
    <w:p>
      <w:pPr>
        <w:numPr>
          <w:ilvl w:val="0"/>
          <w:numId w:val="24"/>
        </w:numPr>
        <w:spacing w:line="360" w:lineRule="auto"/>
        <w:ind w:left="0" w:firstLine="0"/>
        <w:outlineLvl w:val="3"/>
        <w:rPr>
          <w:rFonts w:ascii="宋体" w:hAnsi="宋体"/>
          <w:b/>
        </w:rPr>
      </w:pPr>
      <w:r>
        <w:rPr>
          <w:rFonts w:hint="eastAsia" w:ascii="宋体" w:hAnsi="宋体"/>
          <w:b/>
        </w:rPr>
        <w:t>投标文件的递交、修改及撤回</w:t>
      </w:r>
    </w:p>
    <w:p>
      <w:pPr>
        <w:numPr>
          <w:ilvl w:val="0"/>
          <w:numId w:val="27"/>
        </w:numPr>
        <w:adjustRightInd w:val="0"/>
        <w:spacing w:line="360" w:lineRule="auto"/>
        <w:ind w:left="374" w:hanging="373" w:hangingChars="178"/>
        <w:rPr>
          <w:rFonts w:ascii="宋体" w:hAnsi="宋体"/>
        </w:rPr>
      </w:pPr>
      <w:r>
        <w:rPr>
          <w:rFonts w:hint="eastAsia" w:ascii="宋体" w:hAnsi="宋体"/>
        </w:rPr>
        <w:t>投标人应在投标截止时间之前将投标文件递交给招标人，招标人在接到投标文件时签收。</w:t>
      </w:r>
    </w:p>
    <w:p>
      <w:pPr>
        <w:numPr>
          <w:ilvl w:val="0"/>
          <w:numId w:val="27"/>
        </w:numPr>
        <w:adjustRightInd w:val="0"/>
        <w:spacing w:line="360" w:lineRule="auto"/>
        <w:ind w:left="374" w:hanging="373" w:hangingChars="178"/>
        <w:rPr>
          <w:rFonts w:ascii="宋体" w:hAnsi="宋体"/>
        </w:rPr>
      </w:pPr>
      <w:r>
        <w:rPr>
          <w:rFonts w:hint="eastAsia" w:ascii="宋体" w:hAnsi="宋体"/>
        </w:rPr>
        <w:t>超过投标截止时间之后送达的投标文件将被拒收，并原封退给投标人。</w:t>
      </w:r>
    </w:p>
    <w:p>
      <w:pPr>
        <w:numPr>
          <w:ilvl w:val="0"/>
          <w:numId w:val="27"/>
        </w:numPr>
        <w:adjustRightInd w:val="0"/>
        <w:spacing w:line="360" w:lineRule="auto"/>
        <w:ind w:left="374" w:hanging="373" w:hangingChars="178"/>
        <w:rPr>
          <w:rFonts w:ascii="宋体" w:hAnsi="宋体"/>
        </w:rPr>
      </w:pPr>
      <w:r>
        <w:rPr>
          <w:rFonts w:hint="eastAsia" w:ascii="宋体" w:hAnsi="宋体"/>
        </w:rPr>
        <w:t>投标人递交投标文件以后，可以在规定的投标截时间之前，以书面形式向招标人递交修改或撤回其投标文件的通知。在投标截止时间以后，不得更改投标文件。</w:t>
      </w:r>
    </w:p>
    <w:p>
      <w:pPr>
        <w:numPr>
          <w:ilvl w:val="0"/>
          <w:numId w:val="27"/>
        </w:numPr>
        <w:adjustRightInd w:val="0"/>
        <w:spacing w:line="360" w:lineRule="auto"/>
        <w:ind w:left="374" w:hanging="373" w:hangingChars="178"/>
        <w:rPr>
          <w:rFonts w:ascii="宋体" w:hAnsi="宋体"/>
        </w:rPr>
      </w:pPr>
      <w:r>
        <w:rPr>
          <w:rFonts w:hint="eastAsia" w:ascii="宋体" w:hAnsi="宋体"/>
        </w:rPr>
        <w:t>投标人的修改或撤回通知，应按本文件规定的要求编制、密封、标志、盖章和递交。</w:t>
      </w:r>
    </w:p>
    <w:p>
      <w:pPr>
        <w:numPr>
          <w:ilvl w:val="0"/>
          <w:numId w:val="27"/>
        </w:numPr>
        <w:adjustRightInd w:val="0"/>
        <w:spacing w:line="360" w:lineRule="auto"/>
        <w:ind w:left="374" w:hanging="373" w:hangingChars="178"/>
        <w:rPr>
          <w:rFonts w:ascii="宋体" w:hAnsi="宋体"/>
        </w:rPr>
      </w:pPr>
      <w:r>
        <w:rPr>
          <w:rFonts w:hint="eastAsia" w:ascii="宋体" w:hAnsi="宋体"/>
        </w:rPr>
        <w:t>投标截止以后，投标人不得撤回投标文件，否则其投标保证金将被没收。</w:t>
      </w:r>
    </w:p>
    <w:p>
      <w:pPr>
        <w:numPr>
          <w:ilvl w:val="0"/>
          <w:numId w:val="27"/>
        </w:numPr>
        <w:adjustRightInd w:val="0"/>
        <w:spacing w:line="360" w:lineRule="auto"/>
        <w:ind w:left="374" w:hanging="373" w:hangingChars="178"/>
        <w:rPr>
          <w:rFonts w:ascii="宋体" w:hAnsi="宋体"/>
        </w:rPr>
      </w:pPr>
      <w:r>
        <w:rPr>
          <w:rFonts w:hint="eastAsia" w:ascii="宋体" w:hAnsi="宋体"/>
        </w:rPr>
        <w:t>投标人提交的所有投标资料不予退回。</w:t>
      </w:r>
    </w:p>
    <w:p>
      <w:pPr>
        <w:pStyle w:val="2"/>
      </w:pPr>
    </w:p>
    <w:p>
      <w:pPr>
        <w:numPr>
          <w:ilvl w:val="0"/>
          <w:numId w:val="10"/>
        </w:numPr>
        <w:tabs>
          <w:tab w:val="left" w:pos="426"/>
        </w:tabs>
        <w:spacing w:line="360" w:lineRule="auto"/>
        <w:ind w:left="0" w:firstLine="0"/>
        <w:outlineLvl w:val="2"/>
      </w:pPr>
      <w:bookmarkStart w:id="36" w:name="_Toc125217119"/>
      <w:bookmarkStart w:id="37" w:name="_Toc12263021"/>
      <w:bookmarkStart w:id="38" w:name="_Toc125855745"/>
      <w:bookmarkStart w:id="39" w:name="_Toc52888929"/>
      <w:r>
        <w:rPr>
          <w:rFonts w:hint="eastAsia" w:ascii="宋体" w:hAnsi="宋体"/>
          <w:b/>
        </w:rPr>
        <w:t>评标与定标</w:t>
      </w:r>
      <w:bookmarkEnd w:id="36"/>
      <w:bookmarkEnd w:id="37"/>
      <w:bookmarkEnd w:id="38"/>
      <w:bookmarkEnd w:id="39"/>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评标是招标工作的重要环节，技术评标工作在评标委员会内独立进行，评标委员会评定入围的投标商再进行综合评标（商务标）。</w:t>
      </w:r>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综合评标阶段会结合报价部分、方案说明部分和投标资格证明部分以及前期调研评估结果进行综合评估。在评估过程中评委会若需对投标商提出技术评测要求或其他询问请求，请投标商配合。</w:t>
      </w:r>
    </w:p>
    <w:p>
      <w:pPr>
        <w:autoSpaceDE w:val="0"/>
        <w:autoSpaceDN w:val="0"/>
        <w:adjustRightInd w:val="0"/>
        <w:spacing w:line="360" w:lineRule="auto"/>
        <w:ind w:firstLine="371" w:firstLineChars="177"/>
        <w:jc w:val="left"/>
        <w:rPr>
          <w:rFonts w:ascii="宋体" w:hAnsi="宋体" w:cs="楷体_GB2312"/>
          <w:color w:val="000000"/>
          <w:kern w:val="0"/>
        </w:rPr>
      </w:pPr>
      <w:r>
        <w:rPr>
          <w:rFonts w:hint="eastAsia" w:ascii="宋体" w:hAnsi="宋体" w:cs="楷体_GB2312"/>
          <w:color w:val="000000"/>
          <w:kern w:val="0"/>
        </w:rPr>
        <w:t>评标结果揭晓后，招标方即向入围方发出通知。</w:t>
      </w:r>
      <w:r>
        <w:rPr>
          <w:rFonts w:ascii="宋体" w:hAnsi="宋体" w:cs="楷体_GB2312"/>
          <w:color w:val="000000"/>
          <w:kern w:val="0"/>
        </w:rPr>
        <w:t xml:space="preserve"> </w:t>
      </w:r>
      <w:r>
        <w:rPr>
          <w:rFonts w:hint="eastAsia" w:ascii="宋体" w:hAnsi="宋体" w:cs="楷体_GB2312"/>
          <w:color w:val="000000"/>
          <w:kern w:val="0"/>
        </w:rPr>
        <w:t>评委会不向落标方解释落标原因，不退还投标文件。</w:t>
      </w:r>
    </w:p>
    <w:p>
      <w:pPr>
        <w:spacing w:after="120" w:line="360" w:lineRule="auto"/>
        <w:ind w:firstLine="420"/>
        <w:rPr>
          <w:rFonts w:ascii="宋体" w:hAnsi="宋体" w:cs="楷体_GB2312"/>
          <w:color w:val="000000"/>
          <w:kern w:val="0"/>
        </w:rPr>
      </w:pPr>
      <w:r>
        <w:rPr>
          <w:rFonts w:hint="eastAsia" w:ascii="宋体" w:hAnsi="宋体" w:cs="楷体_GB2312"/>
          <w:color w:val="000000"/>
          <w:kern w:val="0"/>
        </w:rPr>
        <w:t>招标方将与中标方就价格、项目范围、合作模式、售后服务、技术转移等方面进一步沟通，达成共识之后即签订实施合同，合同条款由双方根据商议结果拟定。</w:t>
      </w:r>
    </w:p>
    <w:p>
      <w:pPr>
        <w:pStyle w:val="2"/>
      </w:pPr>
    </w:p>
    <w:p>
      <w:pPr>
        <w:numPr>
          <w:ilvl w:val="0"/>
          <w:numId w:val="10"/>
        </w:numPr>
        <w:tabs>
          <w:tab w:val="left" w:pos="426"/>
        </w:tabs>
        <w:spacing w:line="360" w:lineRule="auto"/>
        <w:ind w:left="0" w:firstLine="0"/>
        <w:outlineLvl w:val="2"/>
      </w:pPr>
      <w:bookmarkStart w:id="40" w:name="_Toc52888930"/>
      <w:bookmarkStart w:id="41" w:name="_Toc125855746"/>
      <w:bookmarkStart w:id="42" w:name="_Toc125217120"/>
      <w:bookmarkStart w:id="43" w:name="_Toc12263022"/>
      <w:r>
        <w:rPr>
          <w:rFonts w:hint="eastAsia" w:ascii="宋体" w:hAnsi="宋体"/>
          <w:b/>
        </w:rPr>
        <w:t>保密</w:t>
      </w:r>
      <w:bookmarkEnd w:id="40"/>
      <w:bookmarkEnd w:id="41"/>
      <w:bookmarkEnd w:id="42"/>
      <w:bookmarkEnd w:id="43"/>
    </w:p>
    <w:p>
      <w:pPr>
        <w:pStyle w:val="2"/>
        <w:numPr>
          <w:ilvl w:val="0"/>
          <w:numId w:val="28"/>
        </w:numPr>
        <w:adjustRightInd w:val="0"/>
        <w:spacing w:after="120" w:line="360" w:lineRule="auto"/>
        <w:textAlignment w:val="baseline"/>
        <w:rPr>
          <w:rFonts w:hAnsi="宋体"/>
          <w:color w:val="000000"/>
          <w:szCs w:val="24"/>
        </w:rPr>
      </w:pPr>
      <w:r>
        <w:rPr>
          <w:rFonts w:hint="eastAsia" w:hAnsi="宋体"/>
          <w:color w:val="000000"/>
          <w:szCs w:val="24"/>
        </w:rPr>
        <w:t>有关投标文件的审查、澄清、评估和比较以及有关授予合同的意向的一切情况都不得透露给任何投标人或与上述评标工作无关的人员。</w:t>
      </w:r>
    </w:p>
    <w:p>
      <w:pPr>
        <w:pStyle w:val="2"/>
        <w:numPr>
          <w:ilvl w:val="0"/>
          <w:numId w:val="28"/>
        </w:numPr>
        <w:adjustRightInd w:val="0"/>
        <w:spacing w:after="120" w:line="360" w:lineRule="auto"/>
        <w:textAlignment w:val="baseline"/>
        <w:rPr>
          <w:rFonts w:hAnsi="宋体"/>
          <w:color w:val="000000"/>
          <w:szCs w:val="24"/>
        </w:rPr>
      </w:pPr>
      <w:r>
        <w:rPr>
          <w:rFonts w:hint="eastAsia" w:hAnsi="宋体"/>
          <w:color w:val="000000"/>
          <w:szCs w:val="24"/>
        </w:rPr>
        <w:t>投标人不得干扰招标人的评标活动，否则将废除其投标。</w:t>
      </w:r>
    </w:p>
    <w:p>
      <w:pPr>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44" w:name="_Toc52888931"/>
      <w:r>
        <w:rPr>
          <w:rFonts w:hint="eastAsia" w:ascii="宋体" w:hAnsi="宋体"/>
          <w:b/>
        </w:rPr>
        <w:t>投标保证金</w:t>
      </w:r>
      <w:bookmarkEnd w:id="44"/>
    </w:p>
    <w:p>
      <w:pPr>
        <w:numPr>
          <w:ilvl w:val="0"/>
          <w:numId w:val="29"/>
        </w:numPr>
        <w:spacing w:line="360" w:lineRule="auto"/>
        <w:ind w:left="374" w:hanging="373" w:hangingChars="178"/>
        <w:rPr>
          <w:rFonts w:ascii="宋体" w:hAnsi="宋体"/>
        </w:rPr>
      </w:pPr>
      <w:r>
        <w:rPr>
          <w:rFonts w:hint="eastAsia" w:ascii="宋体" w:hAnsi="宋体"/>
        </w:rPr>
        <w:t>投标人需按照要求以网上银行汇款、电汇、支票或现金（任选其一）的形式向招标人交纳投标保证金50000.00</w:t>
      </w:r>
      <w:r>
        <w:rPr>
          <w:rFonts w:hint="eastAsia" w:ascii="宋体" w:hAnsi="宋体"/>
          <w:b/>
          <w:bCs/>
        </w:rPr>
        <w:t>元(大写：伍万圆整）。</w:t>
      </w:r>
    </w:p>
    <w:p>
      <w:pPr>
        <w:numPr>
          <w:ilvl w:val="0"/>
          <w:numId w:val="29"/>
        </w:numPr>
        <w:spacing w:line="360" w:lineRule="auto"/>
        <w:ind w:left="374" w:hanging="373" w:hangingChars="178"/>
        <w:rPr>
          <w:rFonts w:ascii="宋体" w:hAnsi="宋体"/>
        </w:rPr>
      </w:pPr>
      <w:r>
        <w:rPr>
          <w:rFonts w:hint="eastAsia" w:ascii="宋体" w:hAnsi="宋体"/>
          <w:szCs w:val="20"/>
        </w:rPr>
        <w:t>交纳投标保证金的单位名称，必须与投标人的名称一致。</w:t>
      </w:r>
    </w:p>
    <w:p>
      <w:pPr>
        <w:numPr>
          <w:ilvl w:val="0"/>
          <w:numId w:val="29"/>
        </w:numPr>
        <w:spacing w:line="360" w:lineRule="auto"/>
        <w:ind w:left="374" w:hanging="373" w:hangingChars="178"/>
        <w:rPr>
          <w:rFonts w:ascii="宋体" w:hAnsi="宋体"/>
        </w:rPr>
      </w:pPr>
      <w:r>
        <w:rPr>
          <w:rFonts w:hint="eastAsia" w:ascii="宋体" w:hAnsi="宋体"/>
        </w:rPr>
        <w:t>投标人如果采用网上银行或电汇的方式交纳招标资料费及投标保证金的，需在汇款后向招标经办人提交原始凭证的电子文档。</w:t>
      </w:r>
    </w:p>
    <w:p>
      <w:pPr>
        <w:numPr>
          <w:ilvl w:val="0"/>
          <w:numId w:val="29"/>
        </w:numPr>
        <w:spacing w:line="360" w:lineRule="auto"/>
        <w:ind w:left="374" w:hanging="373" w:hangingChars="178"/>
        <w:rPr>
          <w:rFonts w:ascii="宋体" w:hAnsi="宋体"/>
        </w:rPr>
      </w:pPr>
      <w:r>
        <w:rPr>
          <w:rFonts w:hint="eastAsia"/>
          <w:szCs w:val="21"/>
        </w:rPr>
        <w:t>未中标的投标人的投标保证金，将于未中标通知书发出后</w:t>
      </w:r>
      <w:r>
        <w:rPr>
          <w:szCs w:val="21"/>
        </w:rPr>
        <w:t>15</w:t>
      </w:r>
      <w:r>
        <w:rPr>
          <w:rFonts w:hint="eastAsia"/>
          <w:szCs w:val="21"/>
        </w:rPr>
        <w:t>个工作日内原额退还。中标的投标人的投标保证金，将于招标人支付第一笔合同款时无息返还。</w:t>
      </w:r>
    </w:p>
    <w:p>
      <w:pPr>
        <w:spacing w:line="360" w:lineRule="auto"/>
        <w:rPr>
          <w:rFonts w:ascii="宋体" w:hAnsi="宋体"/>
        </w:rPr>
      </w:pPr>
    </w:p>
    <w:p>
      <w:pPr>
        <w:numPr>
          <w:ilvl w:val="0"/>
          <w:numId w:val="10"/>
        </w:numPr>
        <w:tabs>
          <w:tab w:val="left" w:pos="426"/>
        </w:tabs>
        <w:spacing w:line="360" w:lineRule="auto"/>
        <w:ind w:left="0" w:firstLine="0"/>
        <w:outlineLvl w:val="2"/>
        <w:rPr>
          <w:rFonts w:ascii="宋体" w:hAnsi="宋体"/>
          <w:b/>
        </w:rPr>
      </w:pPr>
      <w:bookmarkStart w:id="45" w:name="_Toc52888932"/>
      <w:r>
        <w:rPr>
          <w:rFonts w:hint="eastAsia" w:ascii="宋体" w:hAnsi="宋体"/>
          <w:b/>
        </w:rPr>
        <w:t>合同签订</w:t>
      </w:r>
      <w:bookmarkEnd w:id="45"/>
    </w:p>
    <w:p>
      <w:pPr>
        <w:numPr>
          <w:ilvl w:val="0"/>
          <w:numId w:val="30"/>
        </w:numPr>
        <w:spacing w:line="360" w:lineRule="auto"/>
        <w:ind w:left="374" w:hanging="373" w:hangingChars="178"/>
        <w:rPr>
          <w:rFonts w:ascii="宋体" w:hAnsi="宋体"/>
        </w:rPr>
      </w:pPr>
      <w:r>
        <w:rPr>
          <w:rFonts w:hint="eastAsia" w:ascii="宋体" w:hAnsi="宋体"/>
        </w:rPr>
        <w:t>招标人经评标后确定中标人，并在约定的时间和地点，根据《中华人民共和国合同法》、《中华人民共和国建筑法》的规定，依据招标文件、投标文件及其附件，双方签订工程合同。</w:t>
      </w:r>
    </w:p>
    <w:p>
      <w:pPr>
        <w:numPr>
          <w:ilvl w:val="0"/>
          <w:numId w:val="30"/>
        </w:numPr>
        <w:spacing w:line="360" w:lineRule="auto"/>
        <w:ind w:left="374" w:hanging="373" w:hangingChars="178"/>
        <w:rPr>
          <w:rFonts w:ascii="宋体" w:hAnsi="宋体"/>
        </w:rPr>
      </w:pPr>
      <w:r>
        <w:rPr>
          <w:rFonts w:hint="eastAsia" w:ascii="宋体" w:hAnsi="宋体"/>
        </w:rPr>
        <w:t>中标人如在收到招标人发出的中标通知书后7天内无正当理由拒绝签订合同的，将视为违约，招标人有权取消其中标资格，重新确定中标人，其投标保证金将予以没收，并不再邀请参加兴发集团的其它招标活动。</w:t>
      </w:r>
    </w:p>
    <w:p>
      <w:pPr>
        <w:pStyle w:val="2"/>
      </w:pPr>
    </w:p>
    <w:p>
      <w:pPr>
        <w:pStyle w:val="2"/>
      </w:pPr>
    </w:p>
    <w:p>
      <w:pPr>
        <w:numPr>
          <w:ilvl w:val="0"/>
          <w:numId w:val="10"/>
        </w:numPr>
        <w:tabs>
          <w:tab w:val="left" w:pos="426"/>
        </w:tabs>
        <w:spacing w:line="360" w:lineRule="auto"/>
        <w:ind w:left="0" w:firstLine="0"/>
        <w:outlineLvl w:val="2"/>
      </w:pPr>
      <w:bookmarkStart w:id="46" w:name="_Toc125217148"/>
      <w:bookmarkStart w:id="47" w:name="_Toc52888933"/>
      <w:bookmarkStart w:id="48" w:name="_Toc125855774"/>
      <w:bookmarkStart w:id="49" w:name="_Toc12263046"/>
      <w:r>
        <w:rPr>
          <w:rFonts w:hint="eastAsia" w:ascii="宋体" w:hAnsi="宋体"/>
          <w:b/>
        </w:rPr>
        <w:t>其它说明</w:t>
      </w:r>
      <w:bookmarkEnd w:id="46"/>
      <w:bookmarkEnd w:id="47"/>
      <w:bookmarkEnd w:id="48"/>
      <w:bookmarkEnd w:id="49"/>
    </w:p>
    <w:p>
      <w:pPr>
        <w:pStyle w:val="2"/>
        <w:tabs>
          <w:tab w:val="left" w:pos="630"/>
        </w:tabs>
        <w:spacing w:line="360" w:lineRule="auto"/>
        <w:ind w:firstLine="420" w:firstLineChars="200"/>
        <w:rPr>
          <w:rFonts w:hAnsi="宋体"/>
          <w:color w:val="000000"/>
          <w:szCs w:val="24"/>
        </w:rPr>
      </w:pPr>
      <w:r>
        <w:rPr>
          <w:rFonts w:hint="eastAsia" w:hAnsi="宋体"/>
          <w:color w:val="000000"/>
          <w:szCs w:val="24"/>
        </w:rPr>
        <w:t>投标人必须能够提供标书要求的所有测试设备、应用软件开发、服务、系统集成等项目。投标人所提供的产品及服务应不存在任何知识产权争议，或该争议不会影响兴发铝业对该产品及服务的正常使用。如因前述争议给兴发铝业带来经济上的或其它方面的损失，兴发铝业有权于任何时间就该损失向该投标人追偿。</w:t>
      </w:r>
    </w:p>
    <w:p>
      <w:pPr>
        <w:widowControl/>
        <w:jc w:val="left"/>
        <w:rPr>
          <w:rFonts w:ascii="宋体" w:hAnsi="宋体"/>
          <w:b/>
          <w:bCs/>
          <w:sz w:val="30"/>
          <w:szCs w:val="30"/>
        </w:rPr>
      </w:pPr>
      <w:bookmarkStart w:id="50" w:name="_Toc17374"/>
      <w:bookmarkStart w:id="51" w:name="_Toc1966"/>
      <w:bookmarkStart w:id="52" w:name="_Toc25860346"/>
      <w:bookmarkStart w:id="53" w:name="_Toc23259161"/>
      <w:bookmarkStart w:id="54" w:name="_Toc23259361"/>
      <w:r>
        <w:rPr>
          <w:sz w:val="30"/>
          <w:szCs w:val="30"/>
        </w:rPr>
        <w:br w:type="page"/>
      </w:r>
    </w:p>
    <w:p>
      <w:pPr>
        <w:pStyle w:val="4"/>
        <w:keepNext w:val="0"/>
        <w:keepLines w:val="0"/>
        <w:spacing w:line="360" w:lineRule="auto"/>
        <w:jc w:val="center"/>
        <w:rPr>
          <w:rFonts w:eastAsia="宋体"/>
          <w:sz w:val="30"/>
          <w:szCs w:val="30"/>
        </w:rPr>
      </w:pPr>
      <w:bookmarkStart w:id="55" w:name="_Toc52888934"/>
      <w:r>
        <w:rPr>
          <w:rFonts w:hint="eastAsia" w:eastAsia="宋体"/>
          <w:sz w:val="30"/>
          <w:szCs w:val="30"/>
        </w:rPr>
        <w:t>第二章  招标流程及原则</w:t>
      </w:r>
      <w:bookmarkEnd w:id="50"/>
      <w:bookmarkEnd w:id="51"/>
      <w:bookmarkEnd w:id="52"/>
      <w:bookmarkEnd w:id="53"/>
      <w:bookmarkEnd w:id="54"/>
      <w:bookmarkEnd w:id="55"/>
    </w:p>
    <w:p>
      <w:pPr>
        <w:numPr>
          <w:ilvl w:val="0"/>
          <w:numId w:val="31"/>
        </w:numPr>
        <w:tabs>
          <w:tab w:val="left" w:pos="567"/>
        </w:tabs>
        <w:adjustRightInd w:val="0"/>
        <w:spacing w:line="360" w:lineRule="auto"/>
        <w:ind w:left="0" w:firstLine="0"/>
        <w:outlineLvl w:val="2"/>
        <w:rPr>
          <w:rFonts w:ascii="宋体" w:hAnsi="宋体"/>
        </w:rPr>
      </w:pPr>
      <w:bookmarkStart w:id="56" w:name="_Toc52888935"/>
      <w:r>
        <w:rPr>
          <w:rFonts w:hint="eastAsia" w:ascii="宋体" w:hAnsi="宋体"/>
          <w:b/>
        </w:rPr>
        <w:t>发标及现场踏勘</w:t>
      </w:r>
      <w:bookmarkEnd w:id="56"/>
    </w:p>
    <w:p>
      <w:pPr>
        <w:numPr>
          <w:ilvl w:val="0"/>
          <w:numId w:val="32"/>
        </w:numPr>
        <w:spacing w:line="360" w:lineRule="auto"/>
        <w:ind w:hangingChars="200"/>
        <w:rPr>
          <w:rFonts w:ascii="宋体" w:hAnsi="宋体"/>
        </w:rPr>
      </w:pPr>
      <w:r>
        <w:rPr>
          <w:rFonts w:hint="eastAsia" w:ascii="宋体" w:hAnsi="宋体"/>
        </w:rPr>
        <w:t>投标人按上述相关要求交纳投标保证金。</w:t>
      </w:r>
    </w:p>
    <w:p>
      <w:pPr>
        <w:numPr>
          <w:ilvl w:val="0"/>
          <w:numId w:val="32"/>
        </w:numPr>
        <w:spacing w:line="360" w:lineRule="auto"/>
        <w:ind w:hangingChars="200"/>
        <w:rPr>
          <w:rFonts w:ascii="宋体" w:hAnsi="宋体"/>
        </w:rPr>
      </w:pPr>
      <w:r>
        <w:rPr>
          <w:rFonts w:hint="eastAsia" w:ascii="宋体" w:hAnsi="宋体"/>
        </w:rPr>
        <w:t>投标人按上述相关要求到招标人处领取招标资料；如果招标资料为电子文档，招标人将以电子邮件的方式发放。</w:t>
      </w:r>
    </w:p>
    <w:p>
      <w:pPr>
        <w:numPr>
          <w:ilvl w:val="0"/>
          <w:numId w:val="32"/>
        </w:numPr>
        <w:spacing w:line="360" w:lineRule="auto"/>
        <w:ind w:hangingChars="200"/>
        <w:rPr>
          <w:rFonts w:ascii="宋体" w:hAnsi="宋体"/>
        </w:rPr>
      </w:pPr>
      <w:r>
        <w:rPr>
          <w:rFonts w:hint="eastAsia" w:ascii="宋体" w:hAnsi="宋体"/>
        </w:rPr>
        <w:t>投标人根据自身报价是否需要，自行联系现场负责人完成现场踏勘，了解有可能影响报价的所有因素。</w:t>
      </w:r>
    </w:p>
    <w:p>
      <w:pPr>
        <w:spacing w:line="360" w:lineRule="auto"/>
        <w:ind w:left="420"/>
        <w:rPr>
          <w:rFonts w:ascii="宋体" w:hAnsi="宋体"/>
        </w:rPr>
      </w:pPr>
    </w:p>
    <w:p>
      <w:pPr>
        <w:numPr>
          <w:ilvl w:val="0"/>
          <w:numId w:val="31"/>
        </w:numPr>
        <w:tabs>
          <w:tab w:val="left" w:pos="567"/>
        </w:tabs>
        <w:adjustRightInd w:val="0"/>
        <w:spacing w:line="360" w:lineRule="auto"/>
        <w:ind w:left="0" w:firstLine="0"/>
        <w:outlineLvl w:val="2"/>
        <w:rPr>
          <w:rFonts w:ascii="宋体" w:hAnsi="宋体"/>
          <w:b/>
        </w:rPr>
      </w:pPr>
      <w:bookmarkStart w:id="57" w:name="_Toc52888936"/>
      <w:r>
        <w:rPr>
          <w:rFonts w:hint="eastAsia" w:ascii="宋体" w:hAnsi="宋体"/>
          <w:b/>
        </w:rPr>
        <w:t>招标答疑</w:t>
      </w:r>
      <w:bookmarkEnd w:id="57"/>
    </w:p>
    <w:p>
      <w:pPr>
        <w:spacing w:line="360" w:lineRule="auto"/>
        <w:ind w:firstLine="420" w:firstLineChars="200"/>
        <w:rPr>
          <w:rFonts w:ascii="宋体" w:hAnsi="宋体"/>
        </w:rPr>
      </w:pPr>
      <w:r>
        <w:rPr>
          <w:rFonts w:hint="eastAsia" w:ascii="宋体" w:hAnsi="宋体"/>
        </w:rPr>
        <w:t>投标人在收到招标资料后应详细阅读，如有问题，应以电话或电子邮件形式向招标人书面提出，招标人将根据疑问的情况选择以答疑会或电子邮件的方式进行答疑。</w:t>
      </w:r>
    </w:p>
    <w:p>
      <w:pPr>
        <w:numPr>
          <w:ilvl w:val="0"/>
          <w:numId w:val="31"/>
        </w:numPr>
        <w:tabs>
          <w:tab w:val="left" w:pos="567"/>
        </w:tabs>
        <w:adjustRightInd w:val="0"/>
        <w:spacing w:line="360" w:lineRule="auto"/>
        <w:ind w:left="0" w:firstLine="0"/>
        <w:outlineLvl w:val="2"/>
        <w:rPr>
          <w:rFonts w:ascii="宋体" w:hAnsi="宋体"/>
          <w:b/>
        </w:rPr>
      </w:pPr>
      <w:bookmarkStart w:id="58" w:name="_Toc52888937"/>
      <w:r>
        <w:rPr>
          <w:rFonts w:hint="eastAsia" w:ascii="宋体" w:hAnsi="宋体"/>
          <w:b/>
        </w:rPr>
        <w:t>评标、定标及询标</w:t>
      </w:r>
      <w:bookmarkEnd w:id="58"/>
    </w:p>
    <w:p>
      <w:pPr>
        <w:numPr>
          <w:ilvl w:val="0"/>
          <w:numId w:val="33"/>
        </w:numPr>
        <w:spacing w:line="360" w:lineRule="auto"/>
        <w:ind w:left="0" w:firstLine="0"/>
        <w:outlineLvl w:val="3"/>
        <w:rPr>
          <w:rFonts w:ascii="宋体" w:hAnsi="宋体"/>
          <w:b/>
        </w:rPr>
      </w:pPr>
      <w:r>
        <w:rPr>
          <w:rFonts w:hint="eastAsia" w:ascii="宋体" w:hAnsi="宋体"/>
          <w:b/>
        </w:rPr>
        <w:t>评标：</w:t>
      </w:r>
      <w:r>
        <w:rPr>
          <w:rFonts w:ascii="宋体" w:hAnsi="宋体"/>
          <w:b/>
        </w:rPr>
        <w:t xml:space="preserve"> </w:t>
      </w:r>
    </w:p>
    <w:p>
      <w:pPr>
        <w:numPr>
          <w:ilvl w:val="0"/>
          <w:numId w:val="34"/>
        </w:numPr>
        <w:spacing w:line="360" w:lineRule="auto"/>
        <w:ind w:left="420" w:hanging="420" w:hangingChars="200"/>
        <w:rPr>
          <w:rFonts w:ascii="宋体" w:hAnsi="宋体"/>
        </w:rPr>
      </w:pPr>
      <w:r>
        <w:rPr>
          <w:rFonts w:hint="eastAsia" w:ascii="宋体" w:hAnsi="宋体"/>
        </w:rPr>
        <w:t xml:space="preserve">评标小组：本次招标的评标小组由招标人相关部门成员组成。 </w:t>
      </w:r>
    </w:p>
    <w:p>
      <w:pPr>
        <w:numPr>
          <w:ilvl w:val="0"/>
          <w:numId w:val="34"/>
        </w:numPr>
        <w:spacing w:line="360" w:lineRule="auto"/>
        <w:ind w:left="420" w:hanging="420" w:hangingChars="200"/>
        <w:rPr>
          <w:rFonts w:ascii="宋体" w:hAnsi="宋体"/>
        </w:rPr>
      </w:pPr>
      <w:r>
        <w:rPr>
          <w:rFonts w:hint="eastAsia" w:ascii="宋体" w:hAnsi="宋体"/>
        </w:rPr>
        <w:t>评标顺序：技术标开标后对技术标进行澄清，然后再开商务标。</w:t>
      </w:r>
    </w:p>
    <w:p>
      <w:pPr>
        <w:numPr>
          <w:ilvl w:val="0"/>
          <w:numId w:val="33"/>
        </w:numPr>
        <w:spacing w:line="360" w:lineRule="auto"/>
        <w:ind w:left="0" w:firstLine="0"/>
        <w:outlineLvl w:val="3"/>
        <w:rPr>
          <w:rFonts w:ascii="宋体" w:hAnsi="宋体"/>
          <w:b/>
        </w:rPr>
      </w:pPr>
      <w:r>
        <w:rPr>
          <w:rFonts w:hint="eastAsia" w:ascii="宋体" w:hAnsi="宋体"/>
          <w:b/>
        </w:rPr>
        <w:t>定标：本次招标确定的定标原则如下</w:t>
      </w:r>
    </w:p>
    <w:p>
      <w:pPr>
        <w:spacing w:line="360" w:lineRule="auto"/>
        <w:ind w:firstLine="840" w:firstLineChars="400"/>
        <w:rPr>
          <w:rFonts w:ascii="宋体" w:hAnsi="宋体"/>
        </w:rPr>
      </w:pPr>
      <w:r>
        <w:rPr>
          <w:rFonts w:hint="eastAsia" w:ascii="宋体" w:hAnsi="宋体"/>
        </w:rPr>
        <w:t>投标</w:t>
      </w:r>
      <w:r>
        <w:rPr>
          <w:rFonts w:hint="eastAsia" w:ascii="宋体" w:hAnsi="宋体"/>
          <w:b/>
          <w:bCs/>
        </w:rPr>
        <w:t>综合评分</w:t>
      </w:r>
      <w:r>
        <w:rPr>
          <w:rFonts w:hint="eastAsia" w:ascii="宋体" w:hAnsi="宋体"/>
        </w:rPr>
        <w:t>（技术条款、商务条款、价格）最高者中标。</w:t>
      </w:r>
    </w:p>
    <w:p>
      <w:pPr>
        <w:numPr>
          <w:ilvl w:val="0"/>
          <w:numId w:val="33"/>
        </w:numPr>
        <w:spacing w:line="360" w:lineRule="auto"/>
        <w:ind w:left="0" w:firstLine="0"/>
        <w:outlineLvl w:val="3"/>
        <w:rPr>
          <w:rFonts w:ascii="宋体" w:hAnsi="宋体"/>
          <w:b/>
        </w:rPr>
      </w:pPr>
      <w:r>
        <w:rPr>
          <w:rFonts w:hint="eastAsia" w:ascii="宋体" w:hAnsi="宋体"/>
          <w:b/>
        </w:rPr>
        <w:t>询标</w:t>
      </w:r>
    </w:p>
    <w:p>
      <w:pPr>
        <w:numPr>
          <w:ilvl w:val="0"/>
          <w:numId w:val="35"/>
        </w:numPr>
        <w:spacing w:line="360" w:lineRule="auto"/>
        <w:ind w:left="420" w:hanging="420" w:hangingChars="200"/>
        <w:rPr>
          <w:rFonts w:ascii="宋体" w:hAnsi="宋体"/>
        </w:rPr>
      </w:pPr>
      <w:r>
        <w:rPr>
          <w:rFonts w:hint="eastAsia" w:ascii="宋体" w:hAnsi="宋体"/>
        </w:rPr>
        <w:t>为了有助于对投标文件的审查、评价和比较，评标小组将向入围的投标人进行询标：即双方以电话联系形式对招标人认为不清楚的投标内容进行澄清及解释并形成双方确认的书面询标记录。</w:t>
      </w:r>
    </w:p>
    <w:p>
      <w:pPr>
        <w:numPr>
          <w:ilvl w:val="0"/>
          <w:numId w:val="35"/>
        </w:numPr>
        <w:spacing w:line="360" w:lineRule="auto"/>
        <w:ind w:left="420" w:hanging="420" w:hangingChars="200"/>
        <w:rPr>
          <w:rFonts w:ascii="宋体" w:hAnsi="宋体"/>
        </w:rPr>
      </w:pPr>
      <w:r>
        <w:rPr>
          <w:rFonts w:hint="eastAsia" w:ascii="宋体" w:hAnsi="宋体"/>
        </w:rPr>
        <w:t>评标小组做好询标记录，询标记录作为投标文件的组成部分。</w:t>
      </w:r>
    </w:p>
    <w:p>
      <w:pPr>
        <w:spacing w:line="360" w:lineRule="auto"/>
        <w:rPr>
          <w:rFonts w:ascii="宋体" w:hAnsi="宋体"/>
        </w:rPr>
      </w:pPr>
    </w:p>
    <w:p>
      <w:pPr>
        <w:numPr>
          <w:ilvl w:val="0"/>
          <w:numId w:val="31"/>
        </w:numPr>
        <w:tabs>
          <w:tab w:val="left" w:pos="567"/>
        </w:tabs>
        <w:adjustRightInd w:val="0"/>
        <w:spacing w:line="360" w:lineRule="auto"/>
        <w:ind w:left="0" w:firstLine="0"/>
        <w:outlineLvl w:val="2"/>
        <w:rPr>
          <w:rFonts w:ascii="宋体" w:hAnsi="宋体"/>
          <w:b/>
        </w:rPr>
      </w:pPr>
      <w:bookmarkStart w:id="59" w:name="_Toc52888938"/>
      <w:r>
        <w:rPr>
          <w:rFonts w:hint="eastAsia" w:ascii="宋体" w:hAnsi="宋体"/>
          <w:b/>
        </w:rPr>
        <w:t>中标通知书</w:t>
      </w:r>
      <w:bookmarkEnd w:id="59"/>
    </w:p>
    <w:p>
      <w:pPr>
        <w:numPr>
          <w:ilvl w:val="0"/>
          <w:numId w:val="36"/>
        </w:numPr>
        <w:spacing w:line="360" w:lineRule="auto"/>
        <w:ind w:left="420" w:hanging="420" w:hangingChars="200"/>
        <w:rPr>
          <w:rFonts w:ascii="宋体" w:hAnsi="宋体"/>
        </w:rPr>
      </w:pPr>
      <w:r>
        <w:rPr>
          <w:rFonts w:hint="eastAsia" w:ascii="宋体" w:hAnsi="宋体"/>
        </w:rPr>
        <w:t>确定中标人后，招标人将向中标人发出“中标通知书”。</w:t>
      </w:r>
    </w:p>
    <w:p>
      <w:pPr>
        <w:numPr>
          <w:ilvl w:val="0"/>
          <w:numId w:val="36"/>
        </w:numPr>
        <w:spacing w:line="360" w:lineRule="auto"/>
        <w:ind w:left="420" w:hanging="420" w:hangingChars="200"/>
        <w:rPr>
          <w:rFonts w:ascii="宋体" w:hAnsi="宋体"/>
        </w:rPr>
      </w:pPr>
      <w:r>
        <w:rPr>
          <w:rFonts w:hint="eastAsia" w:ascii="宋体" w:hAnsi="宋体"/>
        </w:rPr>
        <w:t>招标人对未中标人发出“非中标通知书”，不中标的原因不作任何解释。</w:t>
      </w:r>
    </w:p>
    <w:p>
      <w:pPr>
        <w:spacing w:line="360" w:lineRule="auto"/>
        <w:rPr>
          <w:rFonts w:ascii="宋体" w:hAnsi="宋体"/>
        </w:rPr>
      </w:pPr>
    </w:p>
    <w:p>
      <w:pPr>
        <w:numPr>
          <w:ilvl w:val="0"/>
          <w:numId w:val="31"/>
        </w:numPr>
        <w:tabs>
          <w:tab w:val="left" w:pos="567"/>
        </w:tabs>
        <w:adjustRightInd w:val="0"/>
        <w:spacing w:line="360" w:lineRule="auto"/>
        <w:ind w:left="0" w:firstLine="0"/>
        <w:outlineLvl w:val="2"/>
        <w:rPr>
          <w:rFonts w:ascii="宋体" w:hAnsi="宋体"/>
          <w:b/>
        </w:rPr>
      </w:pPr>
      <w:bookmarkStart w:id="60" w:name="_Toc52888939"/>
      <w:r>
        <w:rPr>
          <w:rFonts w:hint="eastAsia" w:ascii="宋体" w:hAnsi="宋体"/>
          <w:b/>
        </w:rPr>
        <w:t>下列情况之一者评为废标</w:t>
      </w:r>
      <w:bookmarkEnd w:id="60"/>
    </w:p>
    <w:p>
      <w:pPr>
        <w:numPr>
          <w:ilvl w:val="0"/>
          <w:numId w:val="37"/>
        </w:numPr>
        <w:spacing w:line="360" w:lineRule="auto"/>
        <w:ind w:left="420" w:hanging="420" w:hangingChars="200"/>
        <w:rPr>
          <w:rFonts w:ascii="宋体" w:hAnsi="宋体"/>
        </w:rPr>
      </w:pPr>
      <w:r>
        <w:rPr>
          <w:rFonts w:hint="eastAsia" w:ascii="宋体" w:hAnsi="宋体"/>
        </w:rPr>
        <w:t>违反招标纪律。</w:t>
      </w:r>
    </w:p>
    <w:p>
      <w:pPr>
        <w:numPr>
          <w:ilvl w:val="0"/>
          <w:numId w:val="37"/>
        </w:numPr>
        <w:spacing w:line="360" w:lineRule="auto"/>
        <w:ind w:left="420" w:hanging="420" w:hangingChars="200"/>
        <w:rPr>
          <w:rFonts w:ascii="宋体" w:hAnsi="宋体"/>
        </w:rPr>
      </w:pPr>
      <w:r>
        <w:rPr>
          <w:rFonts w:hint="eastAsia" w:ascii="宋体" w:hAnsi="宋体"/>
        </w:rPr>
        <w:t>未实质性响应招标文件。</w:t>
      </w:r>
    </w:p>
    <w:p>
      <w:pPr>
        <w:numPr>
          <w:ilvl w:val="0"/>
          <w:numId w:val="37"/>
        </w:numPr>
        <w:spacing w:line="360" w:lineRule="auto"/>
        <w:ind w:left="420" w:hanging="420" w:hangingChars="200"/>
        <w:rPr>
          <w:rFonts w:ascii="宋体" w:hAnsi="宋体"/>
        </w:rPr>
      </w:pPr>
      <w:r>
        <w:rPr>
          <w:rFonts w:hint="eastAsia" w:ascii="宋体" w:hAnsi="宋体"/>
        </w:rPr>
        <w:t>投标文件未按招标文件规定的内容和要求进行编制。</w:t>
      </w:r>
    </w:p>
    <w:p>
      <w:pPr>
        <w:numPr>
          <w:ilvl w:val="0"/>
          <w:numId w:val="37"/>
        </w:numPr>
        <w:spacing w:line="360" w:lineRule="auto"/>
        <w:ind w:left="420" w:hanging="420" w:hangingChars="200"/>
        <w:rPr>
          <w:rFonts w:ascii="宋体" w:hAnsi="宋体"/>
        </w:rPr>
      </w:pPr>
      <w:r>
        <w:rPr>
          <w:rFonts w:hint="eastAsia" w:ascii="宋体" w:hAnsi="宋体"/>
        </w:rPr>
        <w:t>投标文件的报价部分未按招标文件要求的格式进行报价。</w:t>
      </w:r>
    </w:p>
    <w:p>
      <w:pPr>
        <w:numPr>
          <w:ilvl w:val="0"/>
          <w:numId w:val="37"/>
        </w:numPr>
        <w:spacing w:line="360" w:lineRule="auto"/>
        <w:ind w:left="420" w:hanging="420" w:hangingChars="200"/>
        <w:rPr>
          <w:rFonts w:ascii="宋体" w:hAnsi="宋体"/>
        </w:rPr>
      </w:pPr>
      <w:r>
        <w:rPr>
          <w:rFonts w:hint="eastAsia" w:ascii="宋体" w:hAnsi="宋体"/>
        </w:rPr>
        <w:t>商务标明显偏离市场价格的或严重漏项的。</w:t>
      </w:r>
    </w:p>
    <w:p>
      <w:pPr>
        <w:numPr>
          <w:ilvl w:val="0"/>
          <w:numId w:val="31"/>
        </w:numPr>
        <w:tabs>
          <w:tab w:val="left" w:pos="567"/>
        </w:tabs>
        <w:adjustRightInd w:val="0"/>
        <w:spacing w:line="360" w:lineRule="auto"/>
        <w:ind w:left="0" w:firstLine="0"/>
        <w:outlineLvl w:val="2"/>
        <w:rPr>
          <w:rFonts w:ascii="宋体" w:hAnsi="宋体"/>
          <w:b/>
        </w:rPr>
      </w:pPr>
      <w:bookmarkStart w:id="61" w:name="_Toc52888940"/>
      <w:r>
        <w:rPr>
          <w:rFonts w:hint="eastAsia" w:ascii="宋体" w:hAnsi="宋体"/>
          <w:b/>
        </w:rPr>
        <w:t>有下列情况之一者，招标人将没收投标人的投标保证金，将不再邀请参加兴发集团的招标活动：</w:t>
      </w:r>
      <w:bookmarkEnd w:id="61"/>
    </w:p>
    <w:p>
      <w:pPr>
        <w:numPr>
          <w:ilvl w:val="0"/>
          <w:numId w:val="38"/>
        </w:numPr>
        <w:spacing w:line="360" w:lineRule="auto"/>
        <w:ind w:left="420" w:hanging="420" w:hangingChars="200"/>
        <w:rPr>
          <w:rFonts w:ascii="宋体" w:hAnsi="宋体"/>
        </w:rPr>
      </w:pPr>
      <w:r>
        <w:rPr>
          <w:rFonts w:hint="eastAsia" w:ascii="宋体" w:hAnsi="宋体"/>
        </w:rPr>
        <w:t>违反招标纪律。</w:t>
      </w:r>
    </w:p>
    <w:p>
      <w:pPr>
        <w:numPr>
          <w:ilvl w:val="0"/>
          <w:numId w:val="38"/>
        </w:numPr>
        <w:spacing w:line="360" w:lineRule="auto"/>
        <w:ind w:left="420" w:hanging="420" w:hangingChars="200"/>
        <w:rPr>
          <w:rFonts w:ascii="宋体" w:hAnsi="宋体"/>
        </w:rPr>
      </w:pPr>
      <w:r>
        <w:rPr>
          <w:rFonts w:hint="eastAsia" w:ascii="宋体" w:hAnsi="宋体"/>
        </w:rPr>
        <w:t>投标人在提交投标文件后，无正当理由自行退出招投标程序的。</w:t>
      </w:r>
    </w:p>
    <w:p>
      <w:pPr>
        <w:numPr>
          <w:ilvl w:val="0"/>
          <w:numId w:val="31"/>
        </w:numPr>
        <w:tabs>
          <w:tab w:val="left" w:pos="567"/>
        </w:tabs>
        <w:adjustRightInd w:val="0"/>
        <w:spacing w:line="360" w:lineRule="auto"/>
        <w:ind w:left="0" w:firstLine="0"/>
        <w:outlineLvl w:val="2"/>
        <w:rPr>
          <w:sz w:val="30"/>
          <w:szCs w:val="30"/>
        </w:rPr>
      </w:pPr>
      <w:r>
        <w:rPr>
          <w:rFonts w:hint="eastAsia" w:cs="宋体"/>
          <w:szCs w:val="21"/>
        </w:rPr>
        <w:t xml:space="preserve"> </w:t>
      </w:r>
      <w:bookmarkStart w:id="62" w:name="_Toc52888941"/>
      <w:r>
        <w:rPr>
          <w:rFonts w:hint="eastAsia" w:cs="宋体"/>
          <w:szCs w:val="21"/>
        </w:rPr>
        <w:t>其他说明：招标方对本次招标全程拥有全权和最终解释权。</w:t>
      </w:r>
      <w:bookmarkEnd w:id="62"/>
      <w:r>
        <w:rPr>
          <w:rFonts w:hint="eastAsia"/>
          <w:sz w:val="30"/>
          <w:szCs w:val="30"/>
        </w:rPr>
        <w:br w:type="page"/>
      </w:r>
      <w:bookmarkStart w:id="63" w:name="_Toc23259362"/>
      <w:bookmarkStart w:id="64" w:name="_Toc6432"/>
      <w:bookmarkStart w:id="65" w:name="_Toc23259162"/>
      <w:bookmarkStart w:id="66" w:name="_Toc27381"/>
      <w:bookmarkStart w:id="67" w:name="_Toc25860347"/>
    </w:p>
    <w:p>
      <w:pPr>
        <w:keepNext/>
        <w:spacing w:before="260" w:after="260" w:line="360" w:lineRule="auto"/>
        <w:jc w:val="center"/>
        <w:outlineLvl w:val="1"/>
        <w:rPr>
          <w:rFonts w:ascii="宋体" w:hAnsi="宋体"/>
          <w:b/>
          <w:bCs/>
          <w:sz w:val="30"/>
          <w:szCs w:val="30"/>
        </w:rPr>
      </w:pPr>
      <w:bookmarkStart w:id="68" w:name="_Toc52888942"/>
      <w:r>
        <w:rPr>
          <w:rFonts w:hint="eastAsia" w:ascii="宋体" w:hAnsi="宋体"/>
          <w:b/>
          <w:bCs/>
          <w:sz w:val="30"/>
          <w:szCs w:val="30"/>
        </w:rPr>
        <w:t>第三章  招标范围、产品技术规范及报价说明</w:t>
      </w:r>
      <w:bookmarkEnd w:id="63"/>
      <w:bookmarkEnd w:id="64"/>
      <w:bookmarkEnd w:id="65"/>
      <w:bookmarkEnd w:id="66"/>
      <w:bookmarkEnd w:id="67"/>
      <w:bookmarkEnd w:id="68"/>
    </w:p>
    <w:p>
      <w:pPr>
        <w:numPr>
          <w:ilvl w:val="0"/>
          <w:numId w:val="39"/>
        </w:numPr>
        <w:tabs>
          <w:tab w:val="left" w:pos="567"/>
        </w:tabs>
        <w:spacing w:line="360" w:lineRule="auto"/>
        <w:outlineLvl w:val="2"/>
        <w:rPr>
          <w:rFonts w:ascii="宋体" w:hAnsi="宋体"/>
          <w:b/>
        </w:rPr>
      </w:pPr>
      <w:bookmarkStart w:id="69" w:name="_Toc52888943"/>
      <w:bookmarkStart w:id="70" w:name="_Toc7095"/>
      <w:bookmarkStart w:id="71" w:name="_Toc25860348"/>
      <w:r>
        <w:rPr>
          <w:rFonts w:hint="eastAsia" w:ascii="宋体" w:hAnsi="宋体"/>
          <w:b/>
        </w:rPr>
        <w:t>招标范围</w:t>
      </w:r>
      <w:bookmarkEnd w:id="69"/>
      <w:bookmarkEnd w:id="70"/>
      <w:bookmarkEnd w:id="71"/>
    </w:p>
    <w:p>
      <w:pPr>
        <w:spacing w:line="360" w:lineRule="auto"/>
        <w:ind w:firstLine="422" w:firstLineChars="201"/>
        <w:rPr>
          <w:rFonts w:ascii="宋体" w:hAnsi="宋体"/>
        </w:rPr>
      </w:pPr>
      <w:r>
        <w:rPr>
          <w:rFonts w:hint="eastAsia" w:ascii="宋体" w:hAnsi="宋体"/>
        </w:rPr>
        <w:t>本次招标范围详见招标资料。主要包括以下内容：</w:t>
      </w:r>
    </w:p>
    <w:p>
      <w:pPr>
        <w:numPr>
          <w:ilvl w:val="0"/>
          <w:numId w:val="40"/>
        </w:numPr>
        <w:spacing w:line="360" w:lineRule="auto"/>
        <w:ind w:left="420" w:hanging="420" w:hangingChars="200"/>
        <w:rPr>
          <w:rFonts w:ascii="宋体" w:hAnsi="宋体"/>
        </w:rPr>
      </w:pPr>
      <w:r>
        <w:rPr>
          <w:rFonts w:hint="eastAsia" w:ascii="宋体" w:hAnsi="宋体"/>
        </w:rPr>
        <w:t>本招标为兴发铝业数据中心建设项目硬件部分（服务器、备份设备）的分项招标，整个项目的目标在于搭建兴发铝业私有云来应对集团数字化转型升级，通过私有云的</w:t>
      </w:r>
      <w:r>
        <w:rPr>
          <w:rFonts w:ascii="宋体" w:hAnsi="宋体"/>
        </w:rPr>
        <w:t>建设</w:t>
      </w:r>
      <w:r>
        <w:rPr>
          <w:rFonts w:hint="eastAsia" w:ascii="宋体" w:hAnsi="宋体"/>
        </w:rPr>
        <w:t>建立起一朵体系完善的兴发铝业的云架构，用于提供集团内专业公司快速增长所需的环境和工具，同时也藉由私有云的建立来提升兴发铝业IT部门战略地位，达到统一管理、统一技术架构、统一客户账户、统一数据，有效促进集团集中IT</w:t>
      </w:r>
      <w:r>
        <w:rPr>
          <w:rFonts w:ascii="宋体" w:hAnsi="宋体"/>
        </w:rPr>
        <w:t>基础</w:t>
      </w:r>
      <w:r>
        <w:rPr>
          <w:rFonts w:hint="eastAsia" w:ascii="宋体" w:hAnsi="宋体"/>
        </w:rPr>
        <w:t>架构、公司化治理，解决企业周期性基础设施建设投入</w:t>
      </w:r>
      <w:r>
        <w:rPr>
          <w:rFonts w:ascii="宋体" w:hAnsi="宋体"/>
        </w:rPr>
        <w:t>弊端</w:t>
      </w:r>
      <w:r>
        <w:rPr>
          <w:rFonts w:hint="eastAsia" w:ascii="宋体" w:hAnsi="宋体"/>
        </w:rPr>
        <w:t>。本</w:t>
      </w:r>
      <w:r>
        <w:rPr>
          <w:rFonts w:hint="eastAsia" w:ascii="宋体" w:hAnsi="宋体"/>
          <w:b/>
          <w:bCs/>
        </w:rPr>
        <w:t>次招标内容为建设私有云通用的通用硬件设备：业务类服务器、独立计算、存储、备份系统等。</w:t>
      </w:r>
    </w:p>
    <w:p>
      <w:pPr>
        <w:pStyle w:val="2"/>
        <w:rPr>
          <w:highlight w:val="yellow"/>
        </w:rPr>
      </w:pPr>
    </w:p>
    <w:p>
      <w:pPr>
        <w:pStyle w:val="2"/>
      </w:pPr>
    </w:p>
    <w:p>
      <w:pPr>
        <w:numPr>
          <w:ilvl w:val="0"/>
          <w:numId w:val="39"/>
        </w:numPr>
        <w:tabs>
          <w:tab w:val="left" w:pos="567"/>
        </w:tabs>
        <w:spacing w:line="360" w:lineRule="auto"/>
        <w:outlineLvl w:val="2"/>
        <w:rPr>
          <w:rFonts w:ascii="宋体" w:hAnsi="宋体"/>
          <w:b/>
        </w:rPr>
      </w:pPr>
      <w:bookmarkStart w:id="72" w:name="_Toc25860349"/>
      <w:bookmarkStart w:id="73" w:name="_Toc5535"/>
      <w:bookmarkStart w:id="74" w:name="_Toc52888944"/>
      <w:r>
        <w:rPr>
          <w:rFonts w:hint="eastAsia" w:ascii="宋体" w:hAnsi="宋体"/>
          <w:b/>
        </w:rPr>
        <w:t>承包方式</w:t>
      </w:r>
      <w:bookmarkEnd w:id="72"/>
      <w:bookmarkEnd w:id="73"/>
      <w:bookmarkEnd w:id="74"/>
    </w:p>
    <w:p>
      <w:pPr>
        <w:spacing w:line="360" w:lineRule="auto"/>
        <w:ind w:left="-420" w:leftChars="-200" w:firstLine="420" w:firstLineChars="200"/>
        <w:rPr>
          <w:rFonts w:ascii="宋体" w:hAnsi="宋体"/>
        </w:rPr>
      </w:pPr>
      <w:r>
        <w:rPr>
          <w:rFonts w:hint="eastAsia" w:ascii="宋体" w:hAnsi="宋体"/>
        </w:rPr>
        <w:t>根据邀标单位提供的技术要求、工程性质、工程特点和施工现场，按邀标范围由承包单位按包人工、包材料、包施工、包管理、包资料、包运输、包装卸、包工期、包质量、包水电、包安全、包清洁卫生、包文明施工、管理费、利润、税金等一切明示及隐含费用（</w:t>
      </w:r>
      <w:r>
        <w:rPr>
          <w:rFonts w:hint="eastAsia" w:ascii="宋体" w:hAnsi="宋体"/>
          <w:b/>
          <w:bCs/>
          <w:u w:val="single"/>
        </w:rPr>
        <w:t>总价包干</w:t>
      </w:r>
      <w:r>
        <w:rPr>
          <w:rFonts w:hint="eastAsia" w:ascii="宋体" w:hAnsi="宋体"/>
        </w:rPr>
        <w:t>）的方式。不因市场价格变化、人员工资福利变化及其他政策性文件的下达而调整。</w:t>
      </w:r>
    </w:p>
    <w:p>
      <w:pPr>
        <w:spacing w:line="360" w:lineRule="auto"/>
        <w:ind w:left="-420" w:leftChars="-200" w:firstLine="420" w:firstLineChars="200"/>
        <w:rPr>
          <w:rFonts w:ascii="宋体" w:hAnsi="宋体"/>
        </w:rPr>
      </w:pPr>
      <w:r>
        <w:rPr>
          <w:rFonts w:hint="eastAsia" w:ascii="宋体" w:hAnsi="宋体"/>
        </w:rPr>
        <w:t>本工程的保修期与服务期为</w:t>
      </w:r>
      <w:r>
        <w:rPr>
          <w:rFonts w:hint="eastAsia" w:ascii="宋体" w:hAnsi="宋体"/>
          <w:color w:val="FF0000"/>
        </w:rPr>
        <w:t>三</w:t>
      </w:r>
      <w:r>
        <w:rPr>
          <w:rFonts w:hint="eastAsia" w:ascii="宋体" w:hAnsi="宋体"/>
        </w:rPr>
        <w:t>年。保修期自竣工验收签字之日起计，在保修期内因施工或设备质量而造成返修，其费用由中标单位负责。</w:t>
      </w:r>
    </w:p>
    <w:p>
      <w:pPr>
        <w:spacing w:line="360" w:lineRule="auto"/>
        <w:ind w:left="-420" w:leftChars="-200" w:firstLine="420" w:firstLineChars="200"/>
        <w:rPr>
          <w:rFonts w:ascii="宋体" w:hAnsi="宋体"/>
        </w:rPr>
      </w:pPr>
      <w:r>
        <w:rPr>
          <w:rFonts w:hint="eastAsia" w:ascii="宋体" w:hAnsi="宋体"/>
        </w:rPr>
        <w:t>工程量请乙方根据相关的要求和有关工程说明及订单条款格式（报价格式）自行编制工程量报价清单。</w:t>
      </w:r>
    </w:p>
    <w:p>
      <w:pPr>
        <w:spacing w:line="360" w:lineRule="auto"/>
        <w:ind w:left="-420" w:leftChars="-200" w:firstLine="420" w:firstLineChars="200"/>
        <w:rPr>
          <w:rFonts w:ascii="宋体" w:hAnsi="宋体"/>
        </w:rPr>
      </w:pPr>
      <w:r>
        <w:rPr>
          <w:rFonts w:hint="eastAsia" w:ascii="宋体" w:hAnsi="宋体"/>
        </w:rPr>
        <w:t>工程中使用的各类材料需严格按照施工图纸、主要设备和材料品牌要求的相关要求购买。主要设备/材料必须在投标材料中提供详细设备参数和说明，确认满足要求后方可使用。</w:t>
      </w:r>
    </w:p>
    <w:p>
      <w:pPr>
        <w:numPr>
          <w:ilvl w:val="0"/>
          <w:numId w:val="39"/>
        </w:numPr>
        <w:tabs>
          <w:tab w:val="left" w:pos="567"/>
        </w:tabs>
        <w:spacing w:line="360" w:lineRule="auto"/>
        <w:outlineLvl w:val="2"/>
        <w:rPr>
          <w:rFonts w:ascii="宋体" w:hAnsi="宋体"/>
          <w:b/>
        </w:rPr>
      </w:pPr>
      <w:bookmarkStart w:id="75" w:name="_Toc28559"/>
      <w:bookmarkStart w:id="76" w:name="_Toc52888945"/>
      <w:bookmarkStart w:id="77" w:name="_Toc25860350"/>
      <w:r>
        <w:rPr>
          <w:rFonts w:hint="eastAsia" w:ascii="宋体" w:hAnsi="宋体"/>
          <w:b/>
        </w:rPr>
        <w:t>投标须知</w:t>
      </w:r>
      <w:bookmarkEnd w:id="75"/>
      <w:bookmarkEnd w:id="76"/>
      <w:bookmarkEnd w:id="77"/>
    </w:p>
    <w:p>
      <w:pPr>
        <w:numPr>
          <w:ilvl w:val="0"/>
          <w:numId w:val="41"/>
        </w:numPr>
        <w:spacing w:line="360" w:lineRule="auto"/>
        <w:rPr>
          <w:rFonts w:ascii="宋体" w:hAnsi="宋体"/>
        </w:rPr>
      </w:pPr>
      <w:r>
        <w:rPr>
          <w:rFonts w:hint="eastAsia" w:ascii="宋体" w:hAnsi="宋体"/>
        </w:rPr>
        <w:t>乙方须提供主要设备的详细说明，主要设备包括</w:t>
      </w:r>
      <w:bookmarkStart w:id="78" w:name="_Hlk46302971"/>
      <w:r>
        <w:rPr>
          <w:rFonts w:hint="eastAsia" w:ascii="宋体" w:hAnsi="宋体" w:cs="宋体"/>
          <w:szCs w:val="21"/>
        </w:rPr>
        <w:t>服务器、</w:t>
      </w:r>
      <w:bookmarkEnd w:id="78"/>
      <w:r>
        <w:rPr>
          <w:rFonts w:hint="eastAsia" w:ascii="宋体" w:hAnsi="宋体" w:cs="宋体"/>
          <w:szCs w:val="21"/>
        </w:rPr>
        <w:t>存储柜、备份系统，</w:t>
      </w:r>
      <w:r>
        <w:rPr>
          <w:rFonts w:hint="eastAsia" w:ascii="宋体" w:hAnsi="宋体"/>
        </w:rPr>
        <w:t>设备应为</w:t>
      </w:r>
      <w:r>
        <w:rPr>
          <w:rFonts w:hint="eastAsia" w:ascii="宋体" w:hAnsi="宋体"/>
          <w:b/>
          <w:bCs/>
        </w:rPr>
        <w:t>原厂标准型号</w:t>
      </w:r>
      <w:r>
        <w:rPr>
          <w:rFonts w:hint="eastAsia" w:ascii="宋体" w:hAnsi="宋体"/>
        </w:rPr>
        <w:t>产品，不接受特殊型号或定制产品。</w:t>
      </w:r>
    </w:p>
    <w:p>
      <w:pPr>
        <w:numPr>
          <w:ilvl w:val="0"/>
          <w:numId w:val="39"/>
        </w:numPr>
        <w:tabs>
          <w:tab w:val="left" w:pos="567"/>
        </w:tabs>
        <w:spacing w:line="360" w:lineRule="auto"/>
        <w:outlineLvl w:val="2"/>
        <w:rPr>
          <w:rFonts w:ascii="宋体" w:hAnsi="宋体"/>
          <w:b/>
        </w:rPr>
      </w:pPr>
      <w:bookmarkStart w:id="79" w:name="_Toc52888946"/>
      <w:bookmarkStart w:id="80" w:name="_Toc25860351"/>
      <w:bookmarkStart w:id="81" w:name="_Toc1592"/>
      <w:r>
        <w:rPr>
          <w:rFonts w:hint="eastAsia" w:ascii="宋体" w:hAnsi="宋体"/>
          <w:b/>
        </w:rPr>
        <w:t>实施规范</w:t>
      </w:r>
      <w:bookmarkEnd w:id="79"/>
      <w:bookmarkEnd w:id="80"/>
      <w:bookmarkEnd w:id="81"/>
    </w:p>
    <w:p>
      <w:pPr>
        <w:spacing w:line="360" w:lineRule="auto"/>
        <w:ind w:left="-420" w:leftChars="-200" w:firstLine="420" w:firstLineChars="200"/>
        <w:rPr>
          <w:rFonts w:ascii="宋体" w:hAnsi="宋体"/>
        </w:rPr>
      </w:pPr>
      <w:r>
        <w:rPr>
          <w:rFonts w:hint="eastAsia" w:ascii="宋体" w:hAnsi="宋体"/>
        </w:rPr>
        <w:t>施工方所提供的产品（包括硬件和软件等）必须完全满足本技术规范的要求。施工方提供的文件，包括图纸、计算、说明、使用手册等，均应使用国际单位制 (SI) 。所有文件、工程图纸及相互通讯，均应使用中文或英文。</w:t>
      </w:r>
    </w:p>
    <w:p>
      <w:pPr>
        <w:spacing w:line="360" w:lineRule="auto"/>
        <w:ind w:left="-420" w:leftChars="-200"/>
        <w:rPr>
          <w:rFonts w:ascii="宋体" w:hAnsi="宋体"/>
        </w:rPr>
      </w:pPr>
    </w:p>
    <w:p>
      <w:pPr>
        <w:numPr>
          <w:ilvl w:val="0"/>
          <w:numId w:val="39"/>
        </w:numPr>
        <w:tabs>
          <w:tab w:val="left" w:pos="567"/>
        </w:tabs>
        <w:spacing w:line="360" w:lineRule="auto"/>
        <w:outlineLvl w:val="2"/>
        <w:rPr>
          <w:rFonts w:ascii="宋体" w:hAnsi="宋体"/>
          <w:b/>
        </w:rPr>
      </w:pPr>
      <w:bookmarkStart w:id="82" w:name="_Toc25860352"/>
      <w:bookmarkStart w:id="83" w:name="_Toc52888947"/>
      <w:bookmarkStart w:id="84" w:name="_Toc8837"/>
      <w:r>
        <w:rPr>
          <w:rFonts w:hint="eastAsia" w:ascii="宋体" w:hAnsi="宋体"/>
          <w:b/>
        </w:rPr>
        <w:t>报价说明</w:t>
      </w:r>
      <w:bookmarkEnd w:id="82"/>
      <w:bookmarkEnd w:id="83"/>
      <w:bookmarkEnd w:id="84"/>
    </w:p>
    <w:p>
      <w:pPr>
        <w:numPr>
          <w:ilvl w:val="0"/>
          <w:numId w:val="42"/>
        </w:numPr>
        <w:spacing w:line="360" w:lineRule="auto"/>
        <w:ind w:left="422" w:hanging="422" w:hangingChars="200"/>
        <w:rPr>
          <w:rFonts w:ascii="宋体" w:hAnsi="宋体"/>
        </w:rPr>
      </w:pPr>
      <w:r>
        <w:rPr>
          <w:rFonts w:hint="eastAsia" w:ascii="宋体" w:hAnsi="宋体"/>
          <w:b/>
        </w:rPr>
        <w:t>通用报价说明</w:t>
      </w:r>
    </w:p>
    <w:p>
      <w:pPr>
        <w:numPr>
          <w:ilvl w:val="0"/>
          <w:numId w:val="43"/>
        </w:numPr>
        <w:spacing w:line="360" w:lineRule="auto"/>
        <w:ind w:hangingChars="200"/>
        <w:rPr>
          <w:rFonts w:ascii="宋体" w:hAnsi="宋体"/>
        </w:rPr>
      </w:pPr>
      <w:r>
        <w:rPr>
          <w:rFonts w:hint="eastAsia" w:ascii="宋体" w:hAnsi="宋体"/>
        </w:rPr>
        <w:t>投标报价编制依据：招标文件、招标图纸、技术规范、招标答疑、招标补充文件等。</w:t>
      </w:r>
    </w:p>
    <w:p>
      <w:pPr>
        <w:spacing w:line="360" w:lineRule="auto"/>
        <w:ind w:left="-420" w:leftChars="-200" w:firstLine="420" w:firstLineChars="200"/>
        <w:rPr>
          <w:rFonts w:ascii="宋体" w:hAnsi="宋体"/>
        </w:rPr>
      </w:pPr>
      <w:r>
        <w:rPr>
          <w:rFonts w:hint="eastAsia" w:ascii="宋体" w:hAnsi="宋体"/>
        </w:rPr>
        <w:t>当投标人提供的书面文件与电子文件内容不一致时，以书面文件为准；投标报价大写与小写不一致时，以大写为准。</w:t>
      </w:r>
    </w:p>
    <w:p>
      <w:pPr>
        <w:numPr>
          <w:ilvl w:val="0"/>
          <w:numId w:val="43"/>
        </w:numPr>
        <w:spacing w:line="360" w:lineRule="auto"/>
        <w:ind w:hangingChars="200"/>
        <w:rPr>
          <w:rFonts w:ascii="宋体" w:hAnsi="宋体"/>
        </w:rPr>
      </w:pPr>
      <w:r>
        <w:rPr>
          <w:rFonts w:hint="eastAsia"/>
        </w:rPr>
        <w:t>投标人的投标报价须准确到小数点后二位数。</w:t>
      </w:r>
    </w:p>
    <w:p>
      <w:pPr>
        <w:numPr>
          <w:ilvl w:val="0"/>
          <w:numId w:val="43"/>
        </w:numPr>
        <w:spacing w:line="360" w:lineRule="auto"/>
        <w:ind w:hangingChars="200"/>
      </w:pPr>
      <w:r>
        <w:rPr>
          <w:rFonts w:hint="eastAsia"/>
        </w:rPr>
        <w:t>投标报价项目内有严重偏离合理价的单价要按招标人要求重新填报，调整单价后该项目中标总价不变。重新调整的报价仍有漏项，招标人视为漏项部分包含在其它清单项目内。</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项目报价需要详细列明项目各个子项费用，并对子项做充分的描述。</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项目报价应是包含了项目内所有所需产品服务或者其它由投标方收取或代收取的费用的总价格。</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对于产品在正式投入使用前，部署测试环境和正式运行环境的所有相关的安装、客户化等的服务均应包含于产品总报价内，不得另行收取任何费用。</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报价书中需要包括就正式运行后增加许可的计算单价（如用户数、IP数等授权），以及软件版本升级的收费方式。</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报价需由经投标人正式书面授权的代表签署，并加盖投标人公司公章。</w:t>
      </w:r>
    </w:p>
    <w:p>
      <w:pPr>
        <w:pStyle w:val="2"/>
        <w:numPr>
          <w:ilvl w:val="0"/>
          <w:numId w:val="43"/>
        </w:numPr>
        <w:adjustRightInd w:val="0"/>
        <w:spacing w:after="120" w:line="360" w:lineRule="auto"/>
        <w:textAlignment w:val="baseline"/>
        <w:rPr>
          <w:rFonts w:hAnsi="宋体"/>
          <w:color w:val="000000"/>
          <w:szCs w:val="24"/>
        </w:rPr>
      </w:pPr>
      <w:r>
        <w:rPr>
          <w:rFonts w:hint="eastAsia" w:hAnsi="宋体"/>
          <w:color w:val="000000"/>
          <w:szCs w:val="24"/>
        </w:rPr>
        <w:t>投标者应按照招标人最后确定的需求和要求报价。</w:t>
      </w:r>
    </w:p>
    <w:p>
      <w:pPr>
        <w:widowControl/>
        <w:jc w:val="left"/>
        <w:rPr>
          <w:rFonts w:ascii="宋体" w:hAnsi="宋体"/>
          <w:b/>
          <w:bCs/>
          <w:sz w:val="30"/>
          <w:szCs w:val="30"/>
        </w:rPr>
      </w:pPr>
      <w:bookmarkStart w:id="85" w:name="_Toc23259163"/>
      <w:bookmarkStart w:id="86" w:name="_Toc25860353"/>
      <w:bookmarkStart w:id="87" w:name="_Toc23259363"/>
      <w:bookmarkStart w:id="88" w:name="_Toc946"/>
      <w:bookmarkStart w:id="89" w:name="_Toc22758"/>
    </w:p>
    <w:p>
      <w:pPr>
        <w:keepNext/>
        <w:spacing w:before="260" w:after="260" w:line="360" w:lineRule="auto"/>
        <w:jc w:val="center"/>
        <w:outlineLvl w:val="1"/>
        <w:rPr>
          <w:rFonts w:ascii="宋体" w:hAnsi="宋体"/>
          <w:b/>
          <w:bCs/>
          <w:sz w:val="30"/>
          <w:szCs w:val="30"/>
        </w:rPr>
      </w:pPr>
      <w:bookmarkStart w:id="90" w:name="_Toc52888948"/>
      <w:r>
        <w:rPr>
          <w:rFonts w:hint="eastAsia" w:ascii="宋体" w:hAnsi="宋体"/>
          <w:b/>
          <w:bCs/>
          <w:sz w:val="30"/>
          <w:szCs w:val="30"/>
        </w:rPr>
        <w:t>第四章  变更及结算</w:t>
      </w:r>
      <w:bookmarkEnd w:id="85"/>
      <w:bookmarkEnd w:id="86"/>
      <w:bookmarkEnd w:id="87"/>
      <w:bookmarkEnd w:id="88"/>
      <w:bookmarkEnd w:id="89"/>
      <w:bookmarkEnd w:id="90"/>
    </w:p>
    <w:p>
      <w:pPr>
        <w:spacing w:line="360" w:lineRule="auto"/>
        <w:rPr>
          <w:rFonts w:ascii="宋体" w:hAnsi="宋体"/>
          <w:b/>
          <w:bCs/>
          <w:szCs w:val="21"/>
        </w:rPr>
      </w:pPr>
      <w:r>
        <w:rPr>
          <w:rFonts w:hint="eastAsia" w:ascii="宋体" w:hAnsi="宋体"/>
          <w:b/>
          <w:bCs/>
          <w:szCs w:val="21"/>
        </w:rPr>
        <w:t>一</w:t>
      </w:r>
      <w:r>
        <w:rPr>
          <w:rFonts w:ascii="宋体" w:hAnsi="宋体"/>
          <w:b/>
          <w:bCs/>
          <w:szCs w:val="21"/>
        </w:rPr>
        <w:t>、</w:t>
      </w:r>
      <w:r>
        <w:rPr>
          <w:rFonts w:hint="eastAsia" w:ascii="宋体" w:hAnsi="宋体"/>
          <w:b/>
          <w:bCs/>
          <w:szCs w:val="21"/>
        </w:rPr>
        <w:t>工程变更原则</w:t>
      </w:r>
    </w:p>
    <w:p>
      <w:pPr>
        <w:spacing w:line="360" w:lineRule="auto"/>
        <w:ind w:left="420" w:leftChars="200"/>
        <w:rPr>
          <w:rFonts w:ascii="宋体" w:hAnsi="宋体"/>
          <w:szCs w:val="21"/>
        </w:rPr>
      </w:pPr>
      <w:r>
        <w:rPr>
          <w:rFonts w:hint="eastAsia" w:ascii="宋体" w:hAnsi="宋体"/>
          <w:szCs w:val="21"/>
        </w:rPr>
        <w:t>未经甲方的同意，乙方不得进行任何变更。除甲方提出的工程项目变更外，其余不作调整。</w:t>
      </w:r>
    </w:p>
    <w:p>
      <w:pPr>
        <w:spacing w:line="360" w:lineRule="auto"/>
        <w:rPr>
          <w:rFonts w:ascii="宋体" w:hAnsi="宋体"/>
          <w:szCs w:val="21"/>
        </w:rPr>
      </w:pPr>
      <w:r>
        <w:rPr>
          <w:rFonts w:hint="eastAsia" w:ascii="宋体" w:hAnsi="宋体"/>
          <w:szCs w:val="21"/>
        </w:rPr>
        <w:t>甲方对原设计及招标文件内容有修改或变更，应向乙方发出变更通知书，乙方不得有异议且必须积极配合并完成变更工程施工。</w:t>
      </w:r>
    </w:p>
    <w:p>
      <w:pPr>
        <w:spacing w:line="360" w:lineRule="auto"/>
        <w:ind w:firstLine="420" w:firstLineChars="200"/>
        <w:rPr>
          <w:rFonts w:ascii="宋体" w:hAnsi="宋体"/>
          <w:szCs w:val="21"/>
        </w:rPr>
      </w:pPr>
      <w:r>
        <w:rPr>
          <w:rFonts w:hint="eastAsia" w:ascii="宋体" w:hAnsi="宋体"/>
          <w:szCs w:val="21"/>
        </w:rPr>
        <w:t>在施工过程中，乙方应及时做好变更记录，在变更指令发出后及时办理变更手续。工程项目变更程序为：在甲方代表提出书面变更通知后，乙方应于7工作日内提交项目变更预算合同价，甲方在12个工作日内审核完成，经双方确认后作为日后工程结算依据。对超过规定时间不提交变更预算，视为该项变更不涉及合同价款的增加，甲方保留该项变更涉及的费用扣减权利。对减少工程造价的变更，如超过规定时间不提交变更预算，则由甲方在支付工程进度款和工程结算时直接扣减。</w:t>
      </w:r>
    </w:p>
    <w:p>
      <w:pPr>
        <w:spacing w:line="360" w:lineRule="auto"/>
        <w:ind w:firstLine="420" w:firstLineChars="200"/>
        <w:rPr>
          <w:rFonts w:ascii="宋体" w:hAnsi="宋体"/>
          <w:szCs w:val="21"/>
        </w:rPr>
      </w:pPr>
      <w:r>
        <w:rPr>
          <w:rFonts w:hint="eastAsia" w:ascii="宋体" w:hAnsi="宋体"/>
          <w:szCs w:val="21"/>
        </w:rPr>
        <w:t>现场签证变更工程量签证原则上要求由乙方项目代表签名、甲方项目代表在变更工程完工当天进行核实办理签证，情况特殊的可在三天内进行补签，超过7天不办理签证视为乙方放弃变更造价的增加，逾期不再办理签证。</w:t>
      </w:r>
    </w:p>
    <w:p>
      <w:pPr>
        <w:spacing w:line="360" w:lineRule="auto"/>
        <w:ind w:firstLine="420" w:firstLineChars="200"/>
        <w:rPr>
          <w:rFonts w:ascii="宋体" w:hAnsi="宋体"/>
          <w:szCs w:val="21"/>
        </w:rPr>
      </w:pPr>
      <w:r>
        <w:rPr>
          <w:rFonts w:hint="eastAsia" w:ascii="宋体" w:hAnsi="宋体"/>
          <w:szCs w:val="21"/>
        </w:rPr>
        <w:t>甲方项目代表因工作变动，应提前15天通知乙方。乙方在收到通知后，必须在15天内对前期遗留工作进行处理，在交接后未能及时签证的部分甲方将不再进行补签，造成的损失由乙方承担。</w:t>
      </w:r>
    </w:p>
    <w:p>
      <w:pPr>
        <w:spacing w:line="360" w:lineRule="auto"/>
        <w:ind w:firstLine="420" w:firstLineChars="200"/>
        <w:rPr>
          <w:rFonts w:ascii="宋体" w:hAnsi="宋体"/>
          <w:szCs w:val="21"/>
        </w:rPr>
      </w:pPr>
      <w:r>
        <w:rPr>
          <w:rFonts w:hint="eastAsia" w:ascii="宋体" w:hAnsi="宋体"/>
          <w:szCs w:val="21"/>
        </w:rPr>
        <w:t>发生工程变更时，如乙方拒绝执行变更指令及造成停工、窝工，将承担违约责任，所造成的损失由乙方承担。</w:t>
      </w:r>
    </w:p>
    <w:p>
      <w:pPr>
        <w:spacing w:line="360" w:lineRule="auto"/>
        <w:ind w:firstLine="420" w:firstLineChars="200"/>
        <w:rPr>
          <w:rFonts w:ascii="宋体" w:hAnsi="宋体"/>
          <w:szCs w:val="21"/>
        </w:rPr>
      </w:pPr>
      <w:r>
        <w:rPr>
          <w:rFonts w:hint="eastAsia" w:ascii="宋体" w:hAnsi="宋体"/>
          <w:szCs w:val="21"/>
        </w:rPr>
        <w:t>工程变更单及签证单统一采用甲方指定的表格，设计变更图纸、变更测量、变更预算、变更记录、变更图片将作为变更附件。</w:t>
      </w:r>
    </w:p>
    <w:p>
      <w:pPr>
        <w:spacing w:line="360" w:lineRule="auto"/>
        <w:ind w:firstLine="420" w:firstLineChars="200"/>
        <w:rPr>
          <w:rFonts w:ascii="宋体" w:hAnsi="宋体"/>
          <w:szCs w:val="21"/>
        </w:rPr>
      </w:pPr>
      <w:r>
        <w:rPr>
          <w:rFonts w:hint="eastAsia" w:ascii="宋体" w:hAnsi="宋体"/>
          <w:szCs w:val="21"/>
        </w:rPr>
        <w:t>调整变更工程造价计算方法为：变更项目造价=变更工程量×中标项目单价×下浮费率｛下浮费率=1－[（投标预算价－中标价）÷投标预算价]｝。</w:t>
      </w:r>
    </w:p>
    <w:p>
      <w:pPr>
        <w:spacing w:line="360" w:lineRule="auto"/>
        <w:ind w:left="420" w:leftChars="200"/>
        <w:rPr>
          <w:rFonts w:ascii="宋体" w:hAnsi="宋体"/>
          <w:szCs w:val="21"/>
        </w:rPr>
      </w:pPr>
      <w:r>
        <w:rPr>
          <w:rFonts w:hint="eastAsia" w:ascii="宋体" w:hAnsi="宋体"/>
          <w:szCs w:val="21"/>
        </w:rPr>
        <w:t>变更工程（含设计变更、现场签证及合同外增加工程）计算方法为：</w:t>
      </w:r>
    </w:p>
    <w:p>
      <w:pPr>
        <w:spacing w:line="360" w:lineRule="auto"/>
        <w:ind w:left="420" w:leftChars="200"/>
        <w:rPr>
          <w:rFonts w:ascii="宋体" w:hAnsi="宋体"/>
          <w:szCs w:val="21"/>
        </w:rPr>
      </w:pPr>
      <w:r>
        <w:rPr>
          <w:rFonts w:hint="eastAsia" w:ascii="宋体" w:hAnsi="宋体"/>
          <w:szCs w:val="21"/>
        </w:rPr>
        <w:t>设计变更工程量按变更后的施工图纸进行计算。</w:t>
      </w:r>
    </w:p>
    <w:p>
      <w:pPr>
        <w:spacing w:line="360" w:lineRule="auto"/>
        <w:ind w:left="420" w:leftChars="200"/>
        <w:rPr>
          <w:rFonts w:ascii="宋体" w:hAnsi="宋体"/>
          <w:szCs w:val="21"/>
        </w:rPr>
      </w:pPr>
      <w:r>
        <w:rPr>
          <w:rFonts w:hint="eastAsia" w:ascii="宋体" w:hAnsi="宋体"/>
          <w:szCs w:val="21"/>
        </w:rPr>
        <w:t>现场签证工程量按施工单位现场代表、甲方项目代表确认为准。</w:t>
      </w:r>
    </w:p>
    <w:p>
      <w:pPr>
        <w:spacing w:line="360" w:lineRule="auto"/>
        <w:ind w:left="420" w:leftChars="200"/>
        <w:rPr>
          <w:rFonts w:ascii="宋体" w:hAnsi="宋体"/>
          <w:szCs w:val="21"/>
        </w:rPr>
      </w:pPr>
      <w:r>
        <w:rPr>
          <w:rFonts w:hint="eastAsia" w:ascii="宋体" w:hAnsi="宋体"/>
          <w:szCs w:val="21"/>
        </w:rPr>
        <w:t>变更工程综合单价调整原则如下：</w:t>
      </w:r>
    </w:p>
    <w:p>
      <w:pPr>
        <w:spacing w:line="360" w:lineRule="auto"/>
        <w:ind w:left="420" w:leftChars="200"/>
        <w:rPr>
          <w:rFonts w:ascii="宋体" w:hAnsi="宋体"/>
          <w:szCs w:val="21"/>
        </w:rPr>
      </w:pPr>
      <w:r>
        <w:rPr>
          <w:rFonts w:hint="eastAsia" w:ascii="宋体" w:hAnsi="宋体"/>
          <w:szCs w:val="21"/>
        </w:rPr>
        <w:t>合同中已有适用于变更工程的项目，按中标价=中标项目单价×下浮费率实施。</w:t>
      </w:r>
    </w:p>
    <w:p>
      <w:pPr>
        <w:spacing w:line="360" w:lineRule="auto"/>
        <w:ind w:firstLine="420" w:firstLineChars="200"/>
        <w:rPr>
          <w:rFonts w:ascii="宋体" w:hAnsi="宋体"/>
          <w:szCs w:val="21"/>
        </w:rPr>
      </w:pPr>
      <w:r>
        <w:rPr>
          <w:rFonts w:hint="eastAsia" w:ascii="宋体" w:hAnsi="宋体"/>
          <w:szCs w:val="21"/>
        </w:rPr>
        <w:t>合同中没有适用或类似于变更工程的项目，依据广东省市场平均单价，参考中标工程量清单中相同的人工单价、机械台班单价、主要材料单价按双方协商的市场单价，并按合同文件中工程量清单取费内容及费率计算综合单价（若有询标澄清的项目，按询标确认的单价执行），由乙方提出适当的价格，经双方确认后执行。如双方不能达成一致的，可提请建设工程造价管理机构调解。变更前项目的综合单价按合同价进行扣减。</w:t>
      </w:r>
    </w:p>
    <w:p>
      <w:pPr>
        <w:spacing w:line="360" w:lineRule="auto"/>
        <w:ind w:left="420" w:leftChars="200"/>
        <w:rPr>
          <w:rFonts w:ascii="宋体" w:hAnsi="宋体"/>
          <w:szCs w:val="21"/>
        </w:rPr>
      </w:pPr>
      <w:r>
        <w:rPr>
          <w:rFonts w:hint="eastAsia" w:ascii="宋体" w:hAnsi="宋体"/>
          <w:szCs w:val="21"/>
        </w:rPr>
        <w:t>若只是对材料品牌或型号规格进行变更调整的，则只进行材料价差调整，其他费用不再计取。</w:t>
      </w:r>
    </w:p>
    <w:p>
      <w:pPr>
        <w:spacing w:line="360" w:lineRule="auto"/>
        <w:ind w:firstLine="420" w:firstLineChars="200"/>
        <w:rPr>
          <w:rFonts w:ascii="宋体" w:hAnsi="宋体"/>
          <w:szCs w:val="21"/>
        </w:rPr>
      </w:pPr>
      <w:r>
        <w:rPr>
          <w:rFonts w:hint="eastAsia" w:ascii="宋体" w:hAnsi="宋体"/>
          <w:szCs w:val="21"/>
        </w:rPr>
        <w:t>变更工程量的计算原则：变更前项目的工程量按合同工程量清单的工程量进行扣减，变更后的项目工程量按变更图纸或现场实测计算。</w:t>
      </w:r>
    </w:p>
    <w:p>
      <w:pPr>
        <w:spacing w:line="360" w:lineRule="auto"/>
        <w:ind w:left="420" w:leftChars="200"/>
        <w:rPr>
          <w:rFonts w:ascii="宋体" w:hAnsi="宋体"/>
          <w:szCs w:val="21"/>
        </w:rPr>
      </w:pPr>
      <w:r>
        <w:rPr>
          <w:rFonts w:hint="eastAsia" w:ascii="宋体" w:hAnsi="宋体"/>
          <w:szCs w:val="21"/>
        </w:rPr>
        <w:t>措施项目费：不因变更而调整。</w:t>
      </w:r>
    </w:p>
    <w:p>
      <w:pPr>
        <w:spacing w:line="360" w:lineRule="auto"/>
        <w:ind w:left="420" w:leftChars="200"/>
        <w:rPr>
          <w:rFonts w:ascii="宋体" w:hAnsi="宋体"/>
          <w:szCs w:val="21"/>
        </w:rPr>
      </w:pPr>
    </w:p>
    <w:p>
      <w:pPr>
        <w:spacing w:line="360" w:lineRule="auto"/>
        <w:rPr>
          <w:rFonts w:ascii="宋体" w:hAnsi="宋体"/>
          <w:b/>
          <w:bCs/>
          <w:szCs w:val="21"/>
        </w:rPr>
      </w:pPr>
      <w:r>
        <w:rPr>
          <w:rFonts w:hint="eastAsia" w:ascii="宋体" w:hAnsi="宋体"/>
          <w:b/>
          <w:bCs/>
          <w:szCs w:val="21"/>
        </w:rPr>
        <w:t>二</w:t>
      </w:r>
      <w:r>
        <w:rPr>
          <w:rFonts w:ascii="宋体" w:hAnsi="宋体"/>
          <w:b/>
          <w:bCs/>
          <w:szCs w:val="21"/>
        </w:rPr>
        <w:t>、</w:t>
      </w:r>
      <w:r>
        <w:rPr>
          <w:rFonts w:hint="eastAsia" w:ascii="宋体" w:hAnsi="宋体"/>
          <w:b/>
          <w:bCs/>
          <w:szCs w:val="21"/>
        </w:rPr>
        <w:t>工程结算原则</w:t>
      </w:r>
    </w:p>
    <w:p>
      <w:pPr>
        <w:spacing w:line="360" w:lineRule="auto"/>
        <w:ind w:firstLine="420" w:firstLineChars="200"/>
        <w:rPr>
          <w:rFonts w:ascii="宋体" w:hAnsi="宋体"/>
          <w:szCs w:val="21"/>
        </w:rPr>
      </w:pPr>
      <w:r>
        <w:rPr>
          <w:rFonts w:hint="eastAsia" w:ascii="宋体" w:hAnsi="宋体"/>
          <w:szCs w:val="21"/>
        </w:rPr>
        <w:t>施工过程中除甲方提出的招标范围及图纸之外的工程项目变更外，本合同综合单价不作调整。</w:t>
      </w:r>
    </w:p>
    <w:p>
      <w:pPr>
        <w:spacing w:line="360" w:lineRule="auto"/>
        <w:ind w:firstLine="420" w:firstLineChars="200"/>
        <w:rPr>
          <w:rFonts w:ascii="宋体" w:hAnsi="宋体"/>
          <w:szCs w:val="21"/>
        </w:rPr>
      </w:pPr>
      <w:r>
        <w:rPr>
          <w:rFonts w:hint="eastAsia" w:ascii="宋体" w:hAnsi="宋体"/>
          <w:szCs w:val="21"/>
        </w:rPr>
        <w:t>乙方对招标文件、设计施工图、招标答疑、招标补充、询标记录及相关文件的要求内容已完全理解并完全响应。本合同价包含招标文件、图纸规定的所有费用，乙方错、漏项中标，所有错、漏费用由乙方自行承担，不得向甲方提出增加费用的要求。</w:t>
      </w:r>
    </w:p>
    <w:p>
      <w:pPr>
        <w:spacing w:line="360" w:lineRule="auto"/>
        <w:ind w:firstLine="420" w:firstLineChars="200"/>
        <w:rPr>
          <w:rFonts w:ascii="宋体" w:hAnsi="宋体"/>
          <w:szCs w:val="21"/>
        </w:rPr>
      </w:pPr>
      <w:r>
        <w:rPr>
          <w:rFonts w:hint="eastAsia" w:ascii="宋体" w:hAnsi="宋体"/>
          <w:szCs w:val="21"/>
        </w:rPr>
        <w:t>本工程的结算方法：结算价=合同价±双方审定的变更工程造价。</w:t>
      </w:r>
    </w:p>
    <w:p>
      <w:pPr>
        <w:spacing w:line="360" w:lineRule="auto"/>
        <w:ind w:firstLine="420" w:firstLineChars="200"/>
        <w:rPr>
          <w:rFonts w:ascii="宋体" w:hAnsi="宋体"/>
          <w:szCs w:val="21"/>
        </w:rPr>
      </w:pPr>
      <w:r>
        <w:rPr>
          <w:rFonts w:hint="eastAsia" w:ascii="宋体" w:hAnsi="宋体"/>
          <w:szCs w:val="21"/>
        </w:rPr>
        <w:t>工程竣工验收合格后，乙方必须在30个日历天内提供完整的结算资料，甲方收到后45个日历天内回复。</w:t>
      </w:r>
    </w:p>
    <w:p>
      <w:pPr>
        <w:spacing w:line="360" w:lineRule="auto"/>
        <w:ind w:firstLine="359" w:firstLineChars="171"/>
        <w:rPr>
          <w:rFonts w:ascii="宋体" w:hAnsi="宋体"/>
          <w:szCs w:val="21"/>
        </w:rPr>
      </w:pPr>
      <w:r>
        <w:rPr>
          <w:rFonts w:hint="eastAsia" w:ascii="宋体" w:hAnsi="宋体"/>
          <w:szCs w:val="21"/>
        </w:rPr>
        <w:t xml:space="preserve"> </w:t>
      </w:r>
      <w:bookmarkStart w:id="91" w:name="_Toc25860354"/>
      <w:bookmarkStart w:id="92" w:name="_Toc23259364"/>
      <w:bookmarkStart w:id="93" w:name="_Toc23259164"/>
      <w:bookmarkStart w:id="94" w:name="_Toc14177"/>
      <w:bookmarkStart w:id="95" w:name="_Toc31005"/>
    </w:p>
    <w:p>
      <w:pPr>
        <w:keepNext/>
        <w:spacing w:before="260" w:after="260" w:line="360" w:lineRule="auto"/>
        <w:jc w:val="center"/>
        <w:outlineLvl w:val="1"/>
      </w:pPr>
      <w:r>
        <w:br w:type="page"/>
      </w:r>
    </w:p>
    <w:p>
      <w:pPr>
        <w:keepNext/>
        <w:spacing w:before="260" w:after="260" w:line="360" w:lineRule="auto"/>
        <w:jc w:val="center"/>
        <w:outlineLvl w:val="1"/>
        <w:rPr>
          <w:rFonts w:ascii="宋体" w:hAnsi="宋体"/>
          <w:b/>
          <w:bCs/>
          <w:sz w:val="30"/>
          <w:szCs w:val="30"/>
        </w:rPr>
      </w:pPr>
      <w:bookmarkStart w:id="96" w:name="_Toc52888949"/>
      <w:r>
        <w:rPr>
          <w:rFonts w:hint="eastAsia" w:ascii="宋体" w:hAnsi="宋体"/>
          <w:b/>
          <w:bCs/>
          <w:sz w:val="30"/>
          <w:szCs w:val="30"/>
        </w:rPr>
        <w:t>第五章  双方义务</w:t>
      </w:r>
      <w:bookmarkEnd w:id="91"/>
      <w:bookmarkEnd w:id="92"/>
      <w:bookmarkEnd w:id="93"/>
      <w:bookmarkEnd w:id="94"/>
      <w:bookmarkEnd w:id="95"/>
      <w:bookmarkEnd w:id="96"/>
    </w:p>
    <w:p>
      <w:pPr>
        <w:spacing w:line="360" w:lineRule="auto"/>
        <w:ind w:left="422" w:hanging="422" w:hangingChars="200"/>
        <w:rPr>
          <w:rFonts w:ascii="宋体" w:hAnsi="宋体"/>
          <w:b/>
          <w:bCs/>
          <w:szCs w:val="21"/>
        </w:rPr>
      </w:pPr>
      <w:r>
        <w:rPr>
          <w:rFonts w:hint="eastAsia" w:ascii="宋体" w:hAnsi="宋体"/>
          <w:b/>
          <w:bCs/>
          <w:szCs w:val="21"/>
        </w:rPr>
        <w:t>一</w:t>
      </w:r>
      <w:r>
        <w:rPr>
          <w:rFonts w:ascii="宋体" w:hAnsi="宋体"/>
          <w:b/>
          <w:bCs/>
          <w:szCs w:val="21"/>
        </w:rPr>
        <w:t>、</w:t>
      </w:r>
      <w:r>
        <w:rPr>
          <w:rFonts w:hint="eastAsia" w:ascii="宋体" w:hAnsi="宋体"/>
          <w:b/>
          <w:bCs/>
          <w:szCs w:val="21"/>
        </w:rPr>
        <w:t>甲方责任</w:t>
      </w:r>
    </w:p>
    <w:p>
      <w:pPr>
        <w:spacing w:line="360" w:lineRule="auto"/>
        <w:ind w:firstLine="420" w:firstLineChars="200"/>
        <w:rPr>
          <w:rFonts w:ascii="宋体" w:hAnsi="宋体"/>
          <w:szCs w:val="21"/>
        </w:rPr>
      </w:pPr>
      <w:r>
        <w:rPr>
          <w:rFonts w:hint="eastAsia" w:ascii="宋体" w:hAnsi="宋体"/>
          <w:szCs w:val="21"/>
        </w:rPr>
        <w:t>将施工所需水电从施工场地外部接至施工现场，并保证施工期间的需要。</w:t>
      </w:r>
    </w:p>
    <w:p>
      <w:pPr>
        <w:spacing w:line="360" w:lineRule="auto"/>
        <w:ind w:firstLine="420" w:firstLineChars="200"/>
        <w:rPr>
          <w:rFonts w:ascii="宋体" w:hAnsi="宋体"/>
          <w:szCs w:val="21"/>
        </w:rPr>
      </w:pPr>
      <w:r>
        <w:rPr>
          <w:rFonts w:hint="eastAsia" w:ascii="宋体" w:hAnsi="宋体"/>
          <w:szCs w:val="21"/>
        </w:rPr>
        <w:t>负责组织设计、乙方等相关部门进行图纸会审并做设计交底。</w:t>
      </w:r>
    </w:p>
    <w:p>
      <w:pPr>
        <w:spacing w:line="360" w:lineRule="auto"/>
        <w:ind w:firstLine="420" w:firstLineChars="200"/>
        <w:rPr>
          <w:rFonts w:ascii="宋体" w:hAnsi="宋体"/>
          <w:szCs w:val="21"/>
        </w:rPr>
      </w:pPr>
      <w:r>
        <w:rPr>
          <w:rFonts w:hint="eastAsia" w:ascii="宋体" w:hAnsi="宋体"/>
          <w:szCs w:val="21"/>
        </w:rPr>
        <w:t>将水准点与坐标控制点以书面形式交给乙方，并进行现场交验。</w:t>
      </w:r>
    </w:p>
    <w:p>
      <w:pPr>
        <w:spacing w:line="360" w:lineRule="auto"/>
        <w:ind w:firstLine="420" w:firstLineChars="200"/>
        <w:rPr>
          <w:rFonts w:ascii="宋体" w:hAnsi="宋体"/>
          <w:szCs w:val="21"/>
        </w:rPr>
      </w:pPr>
      <w:r>
        <w:rPr>
          <w:rFonts w:hint="eastAsia" w:ascii="宋体" w:hAnsi="宋体"/>
          <w:szCs w:val="21"/>
        </w:rPr>
        <w:t>负责按工程进度付款。</w:t>
      </w:r>
    </w:p>
    <w:p>
      <w:pPr>
        <w:spacing w:line="360" w:lineRule="auto"/>
        <w:ind w:firstLine="420" w:firstLineChars="200"/>
        <w:rPr>
          <w:rFonts w:ascii="宋体" w:hAnsi="宋体"/>
          <w:szCs w:val="21"/>
        </w:rPr>
      </w:pPr>
      <w:r>
        <w:rPr>
          <w:rFonts w:hint="eastAsia" w:ascii="宋体" w:hAnsi="宋体"/>
          <w:szCs w:val="21"/>
        </w:rPr>
        <w:t>承担按政府文件规定由甲方承担的费用。</w:t>
      </w:r>
    </w:p>
    <w:p>
      <w:pPr>
        <w:spacing w:line="360" w:lineRule="auto"/>
        <w:ind w:firstLine="420" w:firstLineChars="200"/>
        <w:rPr>
          <w:rFonts w:ascii="宋体" w:hAnsi="宋体"/>
          <w:szCs w:val="21"/>
        </w:rPr>
      </w:pPr>
      <w:r>
        <w:rPr>
          <w:rFonts w:hint="eastAsia" w:ascii="宋体" w:hAnsi="宋体"/>
          <w:szCs w:val="21"/>
        </w:rPr>
        <w:t>甲方任命</w:t>
      </w:r>
      <w:r>
        <w:rPr>
          <w:rFonts w:hint="eastAsia" w:ascii="宋体" w:hAnsi="宋体"/>
          <w:i/>
          <w:iCs/>
          <w:szCs w:val="21"/>
          <w:u w:val="single"/>
        </w:rPr>
        <w:t xml:space="preserve"> 甘忠新 </w:t>
      </w:r>
      <w:r>
        <w:rPr>
          <w:rFonts w:hint="eastAsia" w:ascii="宋体" w:hAnsi="宋体"/>
          <w:szCs w:val="21"/>
        </w:rPr>
        <w:t>为项目代表。甲方的指令、通知由其本人签字后，以书面形式交给乙方代表，乙方代表在回执上签署姓名和收到时间后生效。甲方如需变换项目代表需提前15天通知乙方，甲方如需变换其他代表需提前3天通知乙方，乙方有义务配合甲方的工作交接。</w:t>
      </w:r>
    </w:p>
    <w:p>
      <w:pPr>
        <w:spacing w:line="360" w:lineRule="auto"/>
        <w:ind w:left="422" w:hanging="422" w:hangingChars="200"/>
        <w:rPr>
          <w:rFonts w:ascii="宋体" w:hAnsi="宋体"/>
          <w:b/>
          <w:bCs/>
          <w:szCs w:val="21"/>
        </w:rPr>
      </w:pPr>
      <w:r>
        <w:rPr>
          <w:rFonts w:hint="eastAsia" w:ascii="宋体" w:hAnsi="宋体"/>
          <w:b/>
          <w:bCs/>
          <w:szCs w:val="21"/>
        </w:rPr>
        <w:t>二</w:t>
      </w:r>
      <w:r>
        <w:rPr>
          <w:rFonts w:ascii="宋体" w:hAnsi="宋体"/>
          <w:b/>
          <w:bCs/>
          <w:szCs w:val="21"/>
        </w:rPr>
        <w:t>、</w:t>
      </w:r>
      <w:r>
        <w:rPr>
          <w:rFonts w:hint="eastAsia" w:ascii="宋体" w:hAnsi="宋体"/>
          <w:b/>
          <w:bCs/>
          <w:szCs w:val="21"/>
        </w:rPr>
        <w:t>乙方责任</w:t>
      </w:r>
    </w:p>
    <w:p>
      <w:pPr>
        <w:spacing w:line="360" w:lineRule="auto"/>
        <w:ind w:left="420" w:leftChars="200"/>
        <w:rPr>
          <w:rFonts w:ascii="宋体" w:hAnsi="宋体"/>
          <w:szCs w:val="21"/>
        </w:rPr>
      </w:pPr>
      <w:r>
        <w:rPr>
          <w:rFonts w:hint="eastAsia" w:ascii="宋体" w:hAnsi="宋体"/>
          <w:szCs w:val="21"/>
        </w:rPr>
        <w:t>在进场前一周内，向甲方书面提供施工组织设计和工程进度计划表。</w:t>
      </w:r>
    </w:p>
    <w:p>
      <w:pPr>
        <w:spacing w:line="360" w:lineRule="auto"/>
        <w:ind w:left="420" w:leftChars="200"/>
        <w:rPr>
          <w:rFonts w:ascii="宋体" w:hAnsi="宋体"/>
          <w:szCs w:val="21"/>
        </w:rPr>
      </w:pPr>
      <w:r>
        <w:rPr>
          <w:rFonts w:hint="eastAsia" w:ascii="宋体" w:hAnsi="宋体"/>
          <w:szCs w:val="21"/>
        </w:rPr>
        <w:t>按建设主管部门规定交纳施工方应承担的相关费用及税金。</w:t>
      </w:r>
    </w:p>
    <w:p>
      <w:pPr>
        <w:spacing w:line="360" w:lineRule="auto"/>
        <w:ind w:firstLine="420" w:firstLineChars="200"/>
        <w:rPr>
          <w:rFonts w:ascii="宋体" w:hAnsi="宋体"/>
          <w:szCs w:val="21"/>
        </w:rPr>
      </w:pPr>
      <w:r>
        <w:rPr>
          <w:rFonts w:hint="eastAsia" w:ascii="宋体" w:hAnsi="宋体"/>
          <w:szCs w:val="21"/>
        </w:rPr>
        <w:t>遵守工程所在地有关部门对施工现场交通（运输及道路洁净）和环境保护及施工噪音等管理规定，并自行办理有关手续，产生的费用按建设主管部门部门规定，甲、乙双方各自承担相关费用。负责本工程现场施工的安全管理，自费取得应由乙方办理的各种保险，承包范围内的安全事故由乙方负责。</w:t>
      </w:r>
    </w:p>
    <w:p>
      <w:pPr>
        <w:spacing w:line="360" w:lineRule="auto"/>
        <w:ind w:left="420" w:leftChars="200"/>
        <w:rPr>
          <w:rFonts w:ascii="宋体" w:hAnsi="宋体"/>
          <w:szCs w:val="21"/>
        </w:rPr>
      </w:pPr>
      <w:r>
        <w:rPr>
          <w:rFonts w:hint="eastAsia" w:ascii="宋体" w:hAnsi="宋体"/>
          <w:szCs w:val="21"/>
        </w:rPr>
        <w:t>负责按国家、当地政府有关规范及本合同的约定按时按质按量文明施工，工程完工后应“工完场清”。</w:t>
      </w:r>
    </w:p>
    <w:p>
      <w:pPr>
        <w:spacing w:line="360" w:lineRule="auto"/>
        <w:ind w:left="420" w:hanging="420" w:hangingChars="200"/>
        <w:rPr>
          <w:rFonts w:ascii="宋体" w:hAnsi="宋体"/>
          <w:szCs w:val="21"/>
        </w:rPr>
      </w:pPr>
      <w:r>
        <w:rPr>
          <w:rFonts w:hint="eastAsia" w:ascii="宋体" w:hAnsi="宋体"/>
          <w:szCs w:val="21"/>
        </w:rPr>
        <w:t>在施工过程中按时按规范填写有关质监资料，不得后补。</w:t>
      </w:r>
    </w:p>
    <w:p>
      <w:pPr>
        <w:spacing w:line="360" w:lineRule="auto"/>
        <w:ind w:firstLine="420" w:firstLineChars="200"/>
        <w:rPr>
          <w:rFonts w:ascii="宋体" w:hAnsi="宋体"/>
          <w:szCs w:val="21"/>
        </w:rPr>
      </w:pPr>
      <w:r>
        <w:rPr>
          <w:rFonts w:hint="eastAsia" w:ascii="宋体" w:hAnsi="宋体"/>
          <w:szCs w:val="21"/>
        </w:rPr>
        <w:t>已竣工工程未交付给甲方之前，乙方负责承包范围内已完工程的成品保护工作，保护期间发生损坏，乙方自费予以修复，承担因自身施工不当和材料保管不当造成的经济损失。因甲方提前使用而造成损坏由乙方负责修复，甲方负责相关费用。</w:t>
      </w:r>
    </w:p>
    <w:p>
      <w:pPr>
        <w:spacing w:line="360" w:lineRule="auto"/>
        <w:ind w:firstLine="420" w:firstLineChars="200"/>
        <w:rPr>
          <w:rFonts w:ascii="宋体" w:hAnsi="宋体"/>
          <w:szCs w:val="21"/>
        </w:rPr>
      </w:pPr>
      <w:r>
        <w:rPr>
          <w:rFonts w:hint="eastAsia" w:ascii="宋体" w:hAnsi="宋体"/>
          <w:szCs w:val="21"/>
        </w:rPr>
        <w:t>乙方对承包范围内工程负有保修责任，保修期从竣工验收之日算起，保修期按国家规范要求执行。保修期内如因乙方材料或施工不良所造成的损坏，由乙方无偿修复，造成甲方经济损失应当予以赔偿。甲方指定工程由各分包单位自行负责。</w:t>
      </w:r>
    </w:p>
    <w:p>
      <w:pPr>
        <w:spacing w:line="360" w:lineRule="auto"/>
        <w:ind w:firstLine="420" w:firstLineChars="200"/>
        <w:rPr>
          <w:rFonts w:ascii="宋体" w:hAnsi="宋体"/>
          <w:szCs w:val="21"/>
        </w:rPr>
      </w:pPr>
      <w:r>
        <w:rPr>
          <w:rFonts w:hint="eastAsia" w:ascii="宋体" w:hAnsi="宋体"/>
          <w:szCs w:val="21"/>
        </w:rPr>
        <w:t>按工程需要提供夜间施工使用的照明、看守、围栏和警卫等。如乙方未履行上述义务造成工程、财产和人身伤害，由乙方承担责任及所发生的费用。</w:t>
      </w:r>
    </w:p>
    <w:p>
      <w:pPr>
        <w:spacing w:line="360" w:lineRule="auto"/>
        <w:ind w:firstLine="420" w:firstLineChars="200"/>
        <w:rPr>
          <w:rFonts w:ascii="宋体" w:hAnsi="宋体"/>
          <w:szCs w:val="21"/>
        </w:rPr>
      </w:pPr>
      <w:r>
        <w:rPr>
          <w:rFonts w:hint="eastAsia" w:ascii="宋体" w:hAnsi="宋体"/>
          <w:szCs w:val="21"/>
        </w:rPr>
        <w:t>乙方任命</w:t>
      </w:r>
      <w:r>
        <w:rPr>
          <w:rFonts w:hint="eastAsia" w:ascii="宋体" w:hAnsi="宋体"/>
          <w:szCs w:val="21"/>
          <w:u w:val="single"/>
        </w:rPr>
        <w:t xml:space="preserve">          </w:t>
      </w:r>
      <w:r>
        <w:rPr>
          <w:rFonts w:hint="eastAsia" w:ascii="宋体" w:hAnsi="宋体"/>
          <w:szCs w:val="21"/>
        </w:rPr>
        <w:t>为项目代表。乙方的要求、请求和通知，以书面报告由乙方代表签字送交甲方代表，甲方代表在回执上签署姓名和收到时间后生效。乙方代表按送交甲方的施工方案和合同要求组织施工。未经甲方同意乙方不得变更其项目经理及项目工程师，如需变动，乙方须提前7天与甲方协商。如因变动给甲方带来损失，乙方应予赔偿。</w:t>
      </w:r>
    </w:p>
    <w:p>
      <w:pPr>
        <w:spacing w:line="360" w:lineRule="auto"/>
        <w:ind w:left="420" w:leftChars="200"/>
        <w:rPr>
          <w:rFonts w:ascii="宋体" w:hAnsi="宋体"/>
          <w:szCs w:val="21"/>
        </w:rPr>
      </w:pPr>
      <w:r>
        <w:rPr>
          <w:rFonts w:hint="eastAsia" w:ascii="宋体" w:hAnsi="宋体"/>
          <w:szCs w:val="21"/>
        </w:rPr>
        <w:t>无论何种情况发生，乙方均不得停止施工或拒绝履行本合同项下的其他义务。</w:t>
      </w:r>
    </w:p>
    <w:p>
      <w:pPr>
        <w:keepNext/>
        <w:spacing w:before="260" w:after="260" w:line="360" w:lineRule="auto"/>
        <w:jc w:val="center"/>
        <w:outlineLvl w:val="1"/>
        <w:rPr>
          <w:rFonts w:ascii="宋体" w:hAnsi="宋体"/>
          <w:b/>
          <w:bCs/>
          <w:sz w:val="30"/>
          <w:szCs w:val="30"/>
        </w:rPr>
      </w:pPr>
      <w:r>
        <w:rPr>
          <w:rFonts w:hint="eastAsia" w:ascii="宋体" w:hAnsi="宋体"/>
          <w:b/>
          <w:bCs/>
          <w:sz w:val="30"/>
          <w:szCs w:val="30"/>
        </w:rPr>
        <w:br w:type="page"/>
      </w:r>
      <w:bookmarkStart w:id="97" w:name="_Toc25860355"/>
      <w:bookmarkStart w:id="98" w:name="_Toc27967"/>
      <w:bookmarkStart w:id="99" w:name="_Toc52888950"/>
      <w:bookmarkStart w:id="100" w:name="_Toc23259365"/>
      <w:bookmarkStart w:id="101" w:name="_Toc23259165"/>
      <w:bookmarkStart w:id="102" w:name="_Toc23672"/>
      <w:r>
        <w:rPr>
          <w:rFonts w:hint="eastAsia" w:ascii="宋体" w:hAnsi="宋体"/>
          <w:b/>
          <w:bCs/>
          <w:sz w:val="30"/>
          <w:szCs w:val="30"/>
        </w:rPr>
        <w:t>第六章  工程质量等要求</w:t>
      </w:r>
      <w:bookmarkEnd w:id="97"/>
      <w:bookmarkEnd w:id="98"/>
      <w:bookmarkEnd w:id="99"/>
      <w:bookmarkEnd w:id="100"/>
      <w:bookmarkEnd w:id="101"/>
      <w:bookmarkEnd w:id="102"/>
    </w:p>
    <w:p>
      <w:pPr>
        <w:spacing w:line="360" w:lineRule="auto"/>
        <w:ind w:left="422" w:hanging="422" w:hangingChars="200"/>
        <w:rPr>
          <w:rFonts w:ascii="宋体" w:hAnsi="宋体"/>
          <w:b/>
          <w:bCs/>
          <w:szCs w:val="21"/>
        </w:rPr>
      </w:pPr>
      <w:r>
        <w:rPr>
          <w:rFonts w:hint="eastAsia" w:ascii="宋体" w:hAnsi="宋体"/>
          <w:b/>
          <w:bCs/>
          <w:szCs w:val="21"/>
        </w:rPr>
        <w:t>一</w:t>
      </w:r>
      <w:r>
        <w:rPr>
          <w:rFonts w:ascii="宋体" w:hAnsi="宋体"/>
          <w:b/>
          <w:bCs/>
          <w:szCs w:val="21"/>
        </w:rPr>
        <w:t>、</w:t>
      </w:r>
      <w:r>
        <w:rPr>
          <w:rFonts w:hint="eastAsia" w:ascii="宋体" w:hAnsi="宋体"/>
          <w:b/>
          <w:bCs/>
          <w:szCs w:val="21"/>
        </w:rPr>
        <w:t>质量等级及验收标准</w:t>
      </w:r>
    </w:p>
    <w:p>
      <w:pPr>
        <w:spacing w:line="360" w:lineRule="auto"/>
        <w:ind w:firstLine="420" w:firstLineChars="200"/>
        <w:rPr>
          <w:rFonts w:ascii="宋体" w:hAnsi="宋体"/>
          <w:szCs w:val="21"/>
        </w:rPr>
      </w:pPr>
      <w:r>
        <w:rPr>
          <w:rFonts w:hint="eastAsia" w:ascii="宋体" w:hAnsi="宋体"/>
          <w:szCs w:val="21"/>
        </w:rPr>
        <w:t>本本项目工程按及国家及行业最新颁布的有关质量验收标准进行施工、验收并达到合格标准。</w:t>
      </w:r>
    </w:p>
    <w:p>
      <w:pPr>
        <w:spacing w:line="360" w:lineRule="auto"/>
        <w:ind w:firstLine="420" w:firstLineChars="200"/>
        <w:rPr>
          <w:rFonts w:ascii="宋体" w:hAnsi="宋体"/>
          <w:szCs w:val="21"/>
        </w:rPr>
      </w:pPr>
      <w:r>
        <w:rPr>
          <w:rFonts w:hint="eastAsia" w:ascii="宋体" w:hAnsi="宋体"/>
          <w:szCs w:val="21"/>
        </w:rPr>
        <w:t>本工程采用的所有软硬件产品必须达到国家或行业质量检验评定的合格标准，若产品的质量有异议时，由双方共同委托工程所在地质量监督检测部门检测，若材料符合国家或行业质量检验评定的合格标准，相关的检测费用由甲方承担，若材料不符合国家或行业质量检验评定的合格标准，则乙方承担相关的检测费用</w:t>
      </w:r>
    </w:p>
    <w:p>
      <w:pPr>
        <w:spacing w:line="360" w:lineRule="auto"/>
        <w:ind w:firstLine="422" w:firstLineChars="200"/>
        <w:rPr>
          <w:rFonts w:ascii="宋体" w:hAnsi="宋体"/>
          <w:b/>
          <w:bCs/>
          <w:szCs w:val="21"/>
        </w:rPr>
      </w:pPr>
      <w:r>
        <w:rPr>
          <w:rFonts w:hint="eastAsia" w:ascii="宋体" w:hAnsi="宋体"/>
          <w:b/>
          <w:bCs/>
          <w:szCs w:val="21"/>
        </w:rPr>
        <w:t>二</w:t>
      </w:r>
      <w:r>
        <w:rPr>
          <w:rFonts w:ascii="宋体" w:hAnsi="宋体"/>
          <w:b/>
          <w:bCs/>
          <w:szCs w:val="21"/>
        </w:rPr>
        <w:t>、</w:t>
      </w:r>
      <w:r>
        <w:rPr>
          <w:rFonts w:hint="eastAsia" w:ascii="宋体" w:hAnsi="宋体"/>
          <w:b/>
          <w:bCs/>
          <w:szCs w:val="21"/>
        </w:rPr>
        <w:t xml:space="preserve">竣工验收   </w:t>
      </w:r>
    </w:p>
    <w:p>
      <w:pPr>
        <w:spacing w:line="360" w:lineRule="auto"/>
        <w:ind w:firstLine="420" w:firstLineChars="200"/>
        <w:rPr>
          <w:rFonts w:ascii="宋体" w:hAnsi="宋体"/>
          <w:szCs w:val="21"/>
        </w:rPr>
      </w:pPr>
      <w:r>
        <w:rPr>
          <w:rFonts w:hint="eastAsia" w:ascii="宋体" w:hAnsi="宋体"/>
          <w:szCs w:val="21"/>
        </w:rPr>
        <w:t>按审定的合同、施工图纸﹑图纸会审记录﹑设计变更通知书，以及国家颁发的施工及验收规范、操作规程、国家工程质量检验评定标准进行隐蔽分部分项工程的竣工验收。</w:t>
      </w:r>
    </w:p>
    <w:p>
      <w:pPr>
        <w:spacing w:line="360" w:lineRule="auto"/>
        <w:ind w:firstLine="420" w:firstLineChars="200"/>
        <w:rPr>
          <w:rFonts w:ascii="宋体" w:hAnsi="宋体"/>
          <w:szCs w:val="21"/>
        </w:rPr>
      </w:pPr>
      <w:r>
        <w:rPr>
          <w:rFonts w:hint="eastAsia" w:ascii="宋体" w:hAnsi="宋体"/>
          <w:szCs w:val="21"/>
        </w:rPr>
        <w:t>工程完工乙方自检通过后，甲方应在收到乙方申请验收书面通知并确定乙方具备验收条件后一周内组织验收。</w:t>
      </w:r>
    </w:p>
    <w:p>
      <w:pPr>
        <w:spacing w:line="360" w:lineRule="auto"/>
        <w:ind w:left="420" w:leftChars="200"/>
        <w:rPr>
          <w:rFonts w:ascii="宋体" w:hAnsi="宋体"/>
          <w:szCs w:val="21"/>
        </w:rPr>
      </w:pPr>
      <w:r>
        <w:rPr>
          <w:rFonts w:hint="eastAsia" w:ascii="宋体" w:hAnsi="宋体"/>
          <w:szCs w:val="21"/>
        </w:rPr>
        <w:t>验收方法与所需资料按工程所在地市建设主管部门规定的标准执行。</w:t>
      </w:r>
    </w:p>
    <w:p>
      <w:pPr>
        <w:spacing w:line="360" w:lineRule="auto"/>
        <w:ind w:firstLine="420" w:firstLineChars="200"/>
        <w:rPr>
          <w:rFonts w:ascii="宋体" w:hAnsi="宋体"/>
          <w:szCs w:val="21"/>
        </w:rPr>
      </w:pPr>
      <w:r>
        <w:rPr>
          <w:rFonts w:hint="eastAsia" w:ascii="宋体" w:hAnsi="宋体"/>
          <w:szCs w:val="21"/>
        </w:rPr>
        <w:t>竣工验收合格后，乙方必须做到“工完场清”，人员在三天内撤离现场。验收中如发现工程质量不合格或工程项目尚未完成，则由乙方在双方商定的期限内进行返工或补建，再次验收合格后移交甲方使用。因此而发生的各项费用及给甲方造成的损失由乙方承担，并按最后验收合格的日期作为竣工日期。</w:t>
      </w:r>
    </w:p>
    <w:p>
      <w:pPr>
        <w:spacing w:line="360" w:lineRule="auto"/>
        <w:ind w:firstLine="420" w:firstLineChars="200"/>
        <w:rPr>
          <w:rFonts w:ascii="宋体" w:hAnsi="宋体"/>
          <w:szCs w:val="21"/>
        </w:rPr>
      </w:pPr>
      <w:r>
        <w:rPr>
          <w:rFonts w:hint="eastAsia" w:ascii="宋体" w:hAnsi="宋体"/>
          <w:szCs w:val="21"/>
        </w:rPr>
        <w:t>工程竣工资料按工程所在地建设主管部门要求整理，除按要求备案的资料外，并向甲方各提供一套完整的竣工资料。</w:t>
      </w:r>
    </w:p>
    <w:p>
      <w:pPr>
        <w:spacing w:line="360" w:lineRule="auto"/>
        <w:ind w:firstLine="420" w:firstLineChars="200"/>
        <w:rPr>
          <w:rFonts w:ascii="宋体" w:hAnsi="宋体"/>
          <w:szCs w:val="21"/>
        </w:rPr>
      </w:pPr>
      <w:r>
        <w:rPr>
          <w:rFonts w:hint="eastAsia" w:ascii="宋体" w:hAnsi="宋体"/>
          <w:szCs w:val="21"/>
        </w:rPr>
        <w:t>如甲方、乙方双方对工程质量有争议，由双方同意确认的质量检测机构鉴定，所需费用及因此造成的损失由责任方承担。双方均有责任，则双方根据其责任分别承担。完工日期以甲方组织的内部验收合格为准。</w:t>
      </w:r>
    </w:p>
    <w:p>
      <w:pPr>
        <w:spacing w:line="360" w:lineRule="auto"/>
        <w:ind w:left="422" w:hanging="422" w:hangingChars="200"/>
        <w:rPr>
          <w:rFonts w:ascii="宋体" w:hAnsi="宋体"/>
          <w:b/>
          <w:bCs/>
          <w:szCs w:val="21"/>
        </w:rPr>
      </w:pPr>
      <w:r>
        <w:rPr>
          <w:rFonts w:hint="eastAsia" w:ascii="宋体" w:hAnsi="宋体"/>
          <w:b/>
          <w:bCs/>
          <w:szCs w:val="21"/>
        </w:rPr>
        <w:t>三</w:t>
      </w:r>
      <w:r>
        <w:rPr>
          <w:rFonts w:ascii="宋体" w:hAnsi="宋体"/>
          <w:b/>
          <w:bCs/>
          <w:szCs w:val="21"/>
        </w:rPr>
        <w:t>、</w:t>
      </w:r>
      <w:r>
        <w:rPr>
          <w:rFonts w:hint="eastAsia" w:ascii="宋体" w:hAnsi="宋体"/>
          <w:b/>
          <w:bCs/>
          <w:szCs w:val="21"/>
        </w:rPr>
        <w:t>保 修</w:t>
      </w:r>
    </w:p>
    <w:p>
      <w:pPr>
        <w:spacing w:line="360" w:lineRule="auto"/>
        <w:ind w:left="420" w:leftChars="200"/>
        <w:rPr>
          <w:rFonts w:ascii="宋体" w:hAnsi="宋体"/>
          <w:szCs w:val="21"/>
        </w:rPr>
      </w:pPr>
      <w:r>
        <w:rPr>
          <w:rFonts w:hint="eastAsia" w:ascii="宋体" w:hAnsi="宋体"/>
          <w:szCs w:val="21"/>
        </w:rPr>
        <w:t>乙方应按国家规定，在保修期内对施工质量负责免费保修，保修期自竣工验收合格签字之日起计。</w:t>
      </w:r>
    </w:p>
    <w:p>
      <w:pPr>
        <w:spacing w:line="360" w:lineRule="auto"/>
        <w:ind w:left="420" w:leftChars="200"/>
        <w:rPr>
          <w:rFonts w:ascii="宋体" w:hAnsi="宋体"/>
          <w:szCs w:val="21"/>
        </w:rPr>
      </w:pPr>
      <w:r>
        <w:rPr>
          <w:rFonts w:hint="eastAsia" w:ascii="宋体" w:hAnsi="宋体"/>
          <w:szCs w:val="21"/>
        </w:rPr>
        <w:t>双方根据《建设工程质量管理条例》及有关规定，约定本工程的质量保修条款如下：</w:t>
      </w:r>
    </w:p>
    <w:p>
      <w:pPr>
        <w:spacing w:line="360" w:lineRule="auto"/>
        <w:ind w:left="420" w:leftChars="200"/>
        <w:rPr>
          <w:rFonts w:ascii="宋体" w:hAnsi="宋体"/>
          <w:szCs w:val="21"/>
        </w:rPr>
      </w:pPr>
      <w:r>
        <w:rPr>
          <w:rFonts w:hint="eastAsia" w:ascii="宋体" w:hAnsi="宋体"/>
          <w:szCs w:val="21"/>
        </w:rPr>
        <w:t xml:space="preserve">本工程竣工验收前，双方签订《建设工程质量保修书》。 </w:t>
      </w:r>
    </w:p>
    <w:p>
      <w:pPr>
        <w:spacing w:line="360" w:lineRule="auto"/>
        <w:ind w:left="420" w:leftChars="200"/>
        <w:rPr>
          <w:rFonts w:ascii="宋体" w:hAnsi="宋体"/>
          <w:szCs w:val="21"/>
        </w:rPr>
      </w:pPr>
      <w:r>
        <w:rPr>
          <w:rFonts w:hint="eastAsia" w:ascii="宋体" w:hAnsi="宋体"/>
          <w:szCs w:val="21"/>
        </w:rPr>
        <w:t>本工程保修及服务期为</w:t>
      </w:r>
      <w:r>
        <w:rPr>
          <w:rFonts w:ascii="宋体" w:hAnsi="宋体"/>
          <w:b/>
          <w:bCs/>
          <w:szCs w:val="21"/>
        </w:rPr>
        <w:t>3</w:t>
      </w:r>
      <w:r>
        <w:rPr>
          <w:rFonts w:hint="eastAsia" w:ascii="宋体" w:hAnsi="宋体"/>
          <w:b/>
          <w:bCs/>
          <w:szCs w:val="21"/>
        </w:rPr>
        <w:t>年</w:t>
      </w:r>
      <w:r>
        <w:rPr>
          <w:rFonts w:hint="eastAsia" w:ascii="宋体" w:hAnsi="宋体"/>
          <w:szCs w:val="21"/>
        </w:rPr>
        <w:t>。</w:t>
      </w:r>
    </w:p>
    <w:p>
      <w:pPr>
        <w:spacing w:line="360" w:lineRule="auto"/>
        <w:ind w:left="420" w:leftChars="200"/>
        <w:rPr>
          <w:rFonts w:ascii="宋体" w:hAnsi="宋体"/>
          <w:szCs w:val="21"/>
        </w:rPr>
      </w:pPr>
      <w:r>
        <w:rPr>
          <w:rFonts w:hint="eastAsia" w:ascii="宋体" w:hAnsi="宋体"/>
          <w:szCs w:val="21"/>
        </w:rPr>
        <w:t>其它未尽事宜按国家《建设工程质量管理条例》规定强制性执行。</w:t>
      </w:r>
    </w:p>
    <w:p>
      <w:pPr>
        <w:spacing w:line="360" w:lineRule="auto"/>
        <w:ind w:firstLine="420" w:firstLineChars="200"/>
        <w:rPr>
          <w:rFonts w:ascii="宋体" w:hAnsi="宋体"/>
          <w:szCs w:val="21"/>
        </w:rPr>
      </w:pPr>
      <w:r>
        <w:rPr>
          <w:rFonts w:hint="eastAsia" w:ascii="宋体" w:hAnsi="宋体"/>
          <w:szCs w:val="21"/>
        </w:rPr>
        <w:t>在保修期内发生工程质量引起的质量问题，均由乙方负责免费整改。保修期内，甲方提出工程质量问题，乙方须在24小时内到场处理，并在三天内给出处理意见及处理结果（</w:t>
      </w:r>
      <w:r>
        <w:rPr>
          <w:rFonts w:hint="eastAsia" w:ascii="宋体" w:hAnsi="宋体"/>
          <w:b/>
          <w:bCs/>
          <w:szCs w:val="21"/>
        </w:rPr>
        <w:t>有单独指定质保要求的设备按指定的要求执行</w:t>
      </w:r>
      <w:r>
        <w:rPr>
          <w:rFonts w:hint="eastAsia" w:ascii="宋体" w:hAnsi="宋体"/>
          <w:szCs w:val="21"/>
        </w:rPr>
        <w:t>）；较大质量问题，在一周内给出明确意见及处理结果，承担质保责任。如乙方在上述时间内未到场进行处理，甲方有权自行或委托其他专业队处理，费用按实际发生的费用收取，并加收维护费20%，作为甲方的管理费，由甲方直接在工程款中扣除。</w:t>
      </w:r>
    </w:p>
    <w:p>
      <w:pPr>
        <w:spacing w:line="360" w:lineRule="auto"/>
        <w:ind w:firstLine="420" w:firstLineChars="200"/>
        <w:rPr>
          <w:rFonts w:ascii="宋体" w:hAnsi="宋体"/>
          <w:szCs w:val="21"/>
        </w:rPr>
      </w:pPr>
      <w:r>
        <w:rPr>
          <w:rFonts w:hint="eastAsia" w:ascii="宋体" w:hAnsi="宋体"/>
          <w:szCs w:val="21"/>
        </w:rPr>
        <w:t>乙方应按照国家或地方关于质量保修的有关规定，对交付甲方使用的工程在质量保修期内承担质量保修责任。</w:t>
      </w:r>
    </w:p>
    <w:p>
      <w:pPr>
        <w:spacing w:line="360" w:lineRule="auto"/>
        <w:ind w:firstLine="420" w:firstLineChars="200"/>
        <w:rPr>
          <w:rFonts w:ascii="宋体" w:hAnsi="宋体"/>
          <w:szCs w:val="21"/>
        </w:rPr>
      </w:pPr>
      <w:r>
        <w:rPr>
          <w:rFonts w:hint="eastAsia" w:ascii="宋体" w:hAnsi="宋体"/>
          <w:szCs w:val="21"/>
        </w:rPr>
        <w:t>乙方承诺在保修期内严格按照国家相关规定强制性执行，如乙方不履行其保修义务，则甲方将向乙方主管部门进行投诉并依追究其违约责任，对此乙方应赔偿甲方不履行义务的违约金。</w:t>
      </w:r>
    </w:p>
    <w:p>
      <w:pPr>
        <w:spacing w:line="360" w:lineRule="auto"/>
        <w:ind w:left="420" w:leftChars="200"/>
        <w:rPr>
          <w:rFonts w:ascii="宋体" w:hAnsi="宋体"/>
          <w:szCs w:val="21"/>
        </w:rPr>
      </w:pPr>
      <w:r>
        <w:rPr>
          <w:rFonts w:hint="eastAsia" w:ascii="宋体" w:hAnsi="宋体"/>
          <w:szCs w:val="21"/>
        </w:rPr>
        <w:t>本工程保修期间由甲方委托物业管理有限公司与维修单位就维修事项进行协调。</w:t>
      </w:r>
    </w:p>
    <w:p>
      <w:pPr>
        <w:keepNext/>
        <w:spacing w:before="260" w:after="260" w:line="360" w:lineRule="auto"/>
        <w:jc w:val="center"/>
        <w:outlineLvl w:val="1"/>
        <w:rPr>
          <w:rFonts w:ascii="宋体" w:hAnsi="宋体"/>
          <w:b/>
          <w:bCs/>
          <w:sz w:val="30"/>
          <w:szCs w:val="30"/>
        </w:rPr>
      </w:pPr>
      <w:bookmarkStart w:id="103" w:name="_Toc23259166"/>
      <w:bookmarkStart w:id="104" w:name="_Toc23259366"/>
      <w:bookmarkStart w:id="105" w:name="_Toc31808"/>
      <w:bookmarkStart w:id="106" w:name="_Toc25860356"/>
      <w:bookmarkStart w:id="107" w:name="_Toc6056"/>
      <w:bookmarkStart w:id="108" w:name="_Toc52888951"/>
      <w:r>
        <w:rPr>
          <w:rFonts w:hint="eastAsia" w:ascii="宋体" w:hAnsi="宋体"/>
          <w:b/>
          <w:bCs/>
          <w:sz w:val="30"/>
          <w:szCs w:val="30"/>
        </w:rPr>
        <w:t>第七章  违约责任</w:t>
      </w:r>
      <w:bookmarkEnd w:id="103"/>
      <w:bookmarkEnd w:id="104"/>
      <w:bookmarkEnd w:id="105"/>
      <w:bookmarkEnd w:id="106"/>
      <w:bookmarkEnd w:id="107"/>
      <w:bookmarkEnd w:id="108"/>
    </w:p>
    <w:p>
      <w:bookmarkStart w:id="109" w:name="_Toc13461"/>
      <w:r>
        <w:rPr>
          <w:rFonts w:hint="eastAsia"/>
        </w:rPr>
        <w:t>一、工期违约责任：</w:t>
      </w:r>
      <w:bookmarkEnd w:id="109"/>
    </w:p>
    <w:p>
      <w:pPr>
        <w:spacing w:line="360" w:lineRule="auto"/>
        <w:ind w:firstLine="420" w:firstLineChars="200"/>
        <w:rPr>
          <w:rFonts w:ascii="宋体"/>
          <w:szCs w:val="21"/>
        </w:rPr>
      </w:pPr>
      <w:r>
        <w:rPr>
          <w:rFonts w:hint="eastAsia" w:ascii="宋体" w:hAnsi="宋体"/>
          <w:szCs w:val="21"/>
        </w:rPr>
        <w:t>乙方在接到中标通知书后必须按规定时间进场开工，否则视作自动放弃中标，甲方有权重新确定中标单位，并将投标保证金予以没收，乙方所发生任何费用自负。</w:t>
      </w:r>
    </w:p>
    <w:p>
      <w:pPr>
        <w:spacing w:line="360" w:lineRule="auto"/>
        <w:ind w:firstLine="420" w:firstLineChars="200"/>
        <w:rPr>
          <w:rFonts w:ascii="宋体"/>
          <w:szCs w:val="21"/>
        </w:rPr>
      </w:pPr>
      <w:r>
        <w:rPr>
          <w:rFonts w:hint="eastAsia" w:ascii="宋体" w:hAnsi="宋体"/>
          <w:szCs w:val="21"/>
        </w:rPr>
        <w:t>关键节点（如竣工验收（包括政府及甲方内部验收等）工期延误，乙方向甲方支付人民币1000元/天作为违约金。</w:t>
      </w:r>
    </w:p>
    <w:p>
      <w:pPr>
        <w:spacing w:line="360" w:lineRule="auto"/>
        <w:ind w:firstLine="420" w:firstLineChars="200"/>
        <w:rPr>
          <w:rFonts w:ascii="宋体"/>
          <w:szCs w:val="21"/>
        </w:rPr>
      </w:pPr>
      <w:r>
        <w:rPr>
          <w:rFonts w:hint="eastAsia" w:ascii="宋体" w:hAnsi="宋体"/>
          <w:szCs w:val="21"/>
        </w:rPr>
        <w:t>非关键节点工期每逾期一天乙方向甲方支付人民币500元/天作为违约金，若总工期按合同工期完成，非关键节点工期罚款由甲方酌情退还给乙方。</w:t>
      </w:r>
    </w:p>
    <w:p>
      <w:pPr>
        <w:spacing w:line="360" w:lineRule="auto"/>
        <w:ind w:firstLine="420" w:firstLineChars="200"/>
        <w:rPr>
          <w:rFonts w:ascii="宋体"/>
          <w:szCs w:val="21"/>
        </w:rPr>
      </w:pPr>
      <w:r>
        <w:rPr>
          <w:rFonts w:hint="eastAsia" w:ascii="宋体" w:hAnsi="宋体"/>
          <w:szCs w:val="21"/>
        </w:rPr>
        <w:t>单个节点工期逾期达15天或总工期逾期达30天的，甲方有权解除合同，并且有权要求乙方支付不低于合同总价5%的违约金。同时甲方有权另行委托第三方代为实施，由此更换承包方所造成的工程延期损失及合同价差等损失均由乙方承担。</w:t>
      </w:r>
    </w:p>
    <w:p>
      <w:pPr>
        <w:spacing w:line="360" w:lineRule="auto"/>
        <w:ind w:firstLine="420" w:firstLineChars="200"/>
        <w:rPr>
          <w:rFonts w:ascii="宋体"/>
          <w:szCs w:val="21"/>
        </w:rPr>
      </w:pPr>
      <w:r>
        <w:rPr>
          <w:rFonts w:hint="eastAsia" w:ascii="宋体" w:hAnsi="宋体"/>
          <w:szCs w:val="21"/>
        </w:rPr>
        <w:t>如甲方有证据认为乙方无法完全履行本合同而乙方无法提供有效的担保时，或当甲方按乙方提交的施工组织方案进度计划（扣除本合同规定可顺延的工期），计算出乙方拖延工期达30天的，并经书面通知乙方仍不改进时，乙方仍不改进时，甲方有权终止本合同（发出书面通知），同时终止支付工程款，乙方必须在接到通知后五天内撤离现场（包括属于乙方的人员和机械），不得破坏不属于乙方的任何物件，同时甲方有权视乙方违约情况及撤场情况要求乙方承担合同金额5%以内的违约金，另由此导致甲方更换施工单位所造成的合同价差及其他损失亦由乙方承担。</w:t>
      </w:r>
    </w:p>
    <w:p>
      <w:bookmarkStart w:id="110" w:name="_Toc18627"/>
      <w:r>
        <w:rPr>
          <w:rFonts w:hint="eastAsia"/>
        </w:rPr>
        <w:t>二、工程质量违约责任</w:t>
      </w:r>
      <w:bookmarkEnd w:id="110"/>
    </w:p>
    <w:p>
      <w:pPr>
        <w:spacing w:line="360" w:lineRule="auto"/>
        <w:ind w:firstLine="420" w:firstLineChars="200"/>
        <w:rPr>
          <w:rFonts w:ascii="宋体"/>
          <w:szCs w:val="21"/>
        </w:rPr>
      </w:pPr>
      <w:r>
        <w:rPr>
          <w:rFonts w:hint="eastAsia" w:ascii="宋体" w:hAnsi="宋体"/>
          <w:szCs w:val="21"/>
        </w:rPr>
        <w:t>工程达到本合同质量要求标准竣工不奖不罚。</w:t>
      </w:r>
    </w:p>
    <w:p>
      <w:pPr>
        <w:spacing w:line="360" w:lineRule="auto"/>
        <w:ind w:firstLine="420" w:firstLineChars="200"/>
        <w:rPr>
          <w:rFonts w:ascii="宋体"/>
          <w:szCs w:val="21"/>
        </w:rPr>
      </w:pPr>
      <w:r>
        <w:rPr>
          <w:rFonts w:hint="eastAsia" w:ascii="宋体" w:hAnsi="宋体"/>
          <w:szCs w:val="21"/>
        </w:rPr>
        <w:t>工程未能达到本合同质量要求标准，必须整改至合格。同时乙方应赔偿甲方</w:t>
      </w:r>
      <w:r>
        <w:rPr>
          <w:rFonts w:hint="eastAsia" w:ascii="宋体" w:hAnsi="宋体"/>
          <w:szCs w:val="21"/>
          <w:u w:val="single"/>
        </w:rPr>
        <w:t>1000元—10000元/次</w:t>
      </w:r>
      <w:r>
        <w:rPr>
          <w:rFonts w:hint="eastAsia" w:ascii="宋体" w:hAnsi="宋体"/>
          <w:szCs w:val="21"/>
        </w:rPr>
        <w:t>违约金；经甲方通知限期整改仍不予整改或仍达不到本合同质量要求标准的，甲方有权另行委托第三方代为实施或直接解除合同，并且有权要求乙方支付合同总价5%的违约金；由此更换承包方所造成的工程延期损失及合同价差等其他损失亦由乙方承担。</w:t>
      </w:r>
    </w:p>
    <w:p>
      <w:pPr>
        <w:spacing w:line="360" w:lineRule="auto"/>
        <w:ind w:firstLine="420" w:firstLineChars="200"/>
        <w:rPr>
          <w:rFonts w:ascii="宋体"/>
          <w:szCs w:val="21"/>
        </w:rPr>
      </w:pPr>
      <w:r>
        <w:rPr>
          <w:rFonts w:hint="eastAsia" w:ascii="宋体" w:hAnsi="宋体"/>
          <w:szCs w:val="21"/>
        </w:rPr>
        <w:t>在施工过程中未按国家及地方规范、甲方要求实施，视情节轻重，每发现一次乙方应向甲方支付违约金100~2000元，违约金直接从工程款中扣除。同时乙方应整改至达到国家要求的规范、质量标准，工期不予顺延。另违反现场施工文明规范，则参照相应违约规定。</w:t>
      </w:r>
    </w:p>
    <w:p>
      <w:pPr>
        <w:spacing w:line="360" w:lineRule="auto"/>
        <w:ind w:firstLine="420" w:firstLineChars="200"/>
        <w:rPr>
          <w:rFonts w:ascii="宋体"/>
          <w:szCs w:val="21"/>
        </w:rPr>
      </w:pPr>
      <w:r>
        <w:rPr>
          <w:rFonts w:hint="eastAsia" w:ascii="宋体" w:hAnsi="宋体"/>
          <w:szCs w:val="21"/>
        </w:rPr>
        <w:t>如因乙方违章施工或施工质量不符合规范要求，而造成工程质量事故的，由乙方负责处理并返工，同时乙方应承担由此引发的一切责任，包括经济、行政及刑事责任等。</w:t>
      </w:r>
    </w:p>
    <w:p>
      <w:pPr>
        <w:spacing w:line="360" w:lineRule="auto"/>
        <w:ind w:firstLine="420" w:firstLineChars="200"/>
        <w:rPr>
          <w:rFonts w:ascii="宋体"/>
          <w:szCs w:val="21"/>
        </w:rPr>
      </w:pPr>
      <w:r>
        <w:rPr>
          <w:rFonts w:hint="eastAsia" w:ascii="宋体" w:hAnsi="宋体"/>
          <w:szCs w:val="21"/>
        </w:rPr>
        <w:t>现场安全文明施工在当地政府监督部门检查不合格时，甲方每发现一次乙方应赔偿违约金1000元。</w:t>
      </w:r>
    </w:p>
    <w:p>
      <w:pPr>
        <w:spacing w:line="360" w:lineRule="auto"/>
        <w:ind w:firstLine="420" w:firstLineChars="200"/>
        <w:rPr>
          <w:rFonts w:ascii="宋体"/>
          <w:szCs w:val="21"/>
        </w:rPr>
      </w:pPr>
      <w:r>
        <w:rPr>
          <w:rFonts w:hint="eastAsia" w:ascii="宋体" w:hAnsi="宋体"/>
          <w:szCs w:val="21"/>
        </w:rPr>
        <w:t>施工过程中乙方必须按甲方规定材料要求施工，若不按要求擅自更改品牌，乙方须承担所涉材料价款30%的违约金，同时乙方须按照合同约定重新履行，工期不作顺延。</w:t>
      </w:r>
    </w:p>
    <w:p>
      <w:pPr>
        <w:spacing w:line="360" w:lineRule="auto"/>
        <w:ind w:firstLine="420" w:firstLineChars="200"/>
        <w:rPr>
          <w:rFonts w:ascii="宋体"/>
          <w:szCs w:val="21"/>
        </w:rPr>
      </w:pPr>
      <w:r>
        <w:rPr>
          <w:rFonts w:hint="eastAsia" w:ascii="宋体" w:hAnsi="宋体"/>
          <w:szCs w:val="21"/>
        </w:rPr>
        <w:t>若在施工过程中发现偷工减料现象，每发现一次乙方应向甲方支付违约金10000元，违约金直接从工程款中扣除，且甲方有权要求乙方按照合同约定重新履行，工期不做顺延</w:t>
      </w:r>
    </w:p>
    <w:p>
      <w:bookmarkStart w:id="111" w:name="_Toc19723"/>
      <w:r>
        <w:rPr>
          <w:rFonts w:hint="eastAsia"/>
        </w:rPr>
        <w:t>三、其他违约责任</w:t>
      </w:r>
      <w:bookmarkEnd w:id="111"/>
    </w:p>
    <w:p>
      <w:pPr>
        <w:spacing w:line="360" w:lineRule="auto"/>
        <w:ind w:firstLine="420" w:firstLineChars="200"/>
        <w:rPr>
          <w:rFonts w:ascii="宋体"/>
          <w:szCs w:val="21"/>
        </w:rPr>
      </w:pPr>
      <w:r>
        <w:rPr>
          <w:rFonts w:hint="eastAsia" w:ascii="宋体" w:hAnsi="宋体"/>
          <w:szCs w:val="21"/>
        </w:rPr>
        <w:t>双方在履行合同时发生争议，可以和解或者要求有关主管部门调解。当事人不愿调解、和解或调解、和解不成的，双方应向工程所在地人民法院起诉。</w:t>
      </w:r>
    </w:p>
    <w:p>
      <w:pPr>
        <w:spacing w:line="360" w:lineRule="auto"/>
        <w:ind w:firstLine="420" w:firstLineChars="200"/>
        <w:rPr>
          <w:rFonts w:ascii="宋体"/>
          <w:szCs w:val="21"/>
        </w:rPr>
      </w:pPr>
      <w:r>
        <w:rPr>
          <w:rFonts w:hint="eastAsia" w:ascii="宋体" w:hAnsi="宋体"/>
          <w:szCs w:val="21"/>
        </w:rPr>
        <w:t>发生争议后，除非出现下列情况的，双方都应继续履行合同，保持施工连续，保护好已完工程：</w:t>
      </w:r>
    </w:p>
    <w:p>
      <w:pPr>
        <w:spacing w:line="360" w:lineRule="auto"/>
        <w:rPr>
          <w:rFonts w:ascii="宋体"/>
          <w:szCs w:val="21"/>
        </w:rPr>
      </w:pPr>
      <w:r>
        <w:rPr>
          <w:rFonts w:hint="eastAsia" w:ascii="宋体" w:hAnsi="宋体"/>
          <w:szCs w:val="21"/>
        </w:rPr>
        <w:t>（1）单方违约导致合同确已无法履行，双方协议停止施工；</w:t>
      </w:r>
    </w:p>
    <w:p>
      <w:pPr>
        <w:spacing w:line="360" w:lineRule="auto"/>
        <w:rPr>
          <w:rFonts w:ascii="宋体"/>
          <w:szCs w:val="21"/>
        </w:rPr>
      </w:pPr>
      <w:r>
        <w:rPr>
          <w:rFonts w:hint="eastAsia" w:ascii="宋体" w:hAnsi="宋体"/>
          <w:szCs w:val="21"/>
        </w:rPr>
        <w:t>（2）调解要求停止施工，且为双方接受；</w:t>
      </w:r>
    </w:p>
    <w:p>
      <w:pPr>
        <w:spacing w:line="360" w:lineRule="auto"/>
        <w:rPr>
          <w:rFonts w:ascii="宋体"/>
          <w:szCs w:val="21"/>
        </w:rPr>
      </w:pPr>
      <w:r>
        <w:rPr>
          <w:rFonts w:hint="eastAsia" w:ascii="宋体" w:hAnsi="宋体"/>
          <w:szCs w:val="21"/>
        </w:rPr>
        <w:t>（3）法院要求停止施工。</w:t>
      </w:r>
    </w:p>
    <w:p>
      <w:pPr>
        <w:spacing w:line="360" w:lineRule="auto"/>
        <w:ind w:firstLine="420" w:firstLineChars="200"/>
        <w:rPr>
          <w:rFonts w:ascii="宋体"/>
          <w:szCs w:val="21"/>
        </w:rPr>
      </w:pPr>
      <w:r>
        <w:rPr>
          <w:rFonts w:hint="eastAsia" w:ascii="宋体" w:hAnsi="宋体"/>
          <w:szCs w:val="21"/>
        </w:rPr>
        <w:t>本合同范围内，双方任何一方不能全面履行合同条款，均属违约。违约所造成的所有责任和经济损失概由违约方承担。除非双方协商终止本合同，违约方承担违约责任后仍必须履行合同。</w:t>
      </w:r>
    </w:p>
    <w:p>
      <w:pPr>
        <w:spacing w:line="360" w:lineRule="auto"/>
        <w:ind w:firstLine="420" w:firstLineChars="200"/>
        <w:rPr>
          <w:rFonts w:ascii="宋体"/>
          <w:szCs w:val="21"/>
        </w:rPr>
      </w:pPr>
      <w:r>
        <w:rPr>
          <w:rFonts w:hint="eastAsia" w:ascii="宋体" w:hAnsi="宋体"/>
          <w:szCs w:val="21"/>
        </w:rPr>
        <w:t>损失计算方法：直接损失+间接损失+国家商业银行同期活期利率计算的利息，如若按照合同约定违约方支付违约金后仍不能弥补守约方损失，则守约方有权继续追偿。</w:t>
      </w:r>
    </w:p>
    <w:p>
      <w:pPr>
        <w:spacing w:line="360" w:lineRule="auto"/>
        <w:ind w:firstLine="420" w:firstLineChars="200"/>
        <w:rPr>
          <w:rFonts w:ascii="宋体"/>
          <w:szCs w:val="21"/>
        </w:rPr>
      </w:pPr>
      <w:r>
        <w:rPr>
          <w:rFonts w:hint="eastAsia" w:ascii="宋体" w:hAnsi="宋体"/>
          <w:szCs w:val="21"/>
        </w:rPr>
        <w:t>甲方原因造成进度款支付拖延30天以上者（自乙方提交所有资料之日起），自第31天起，甲方按照国家商业银行同期活期存款利率支付违约金。</w:t>
      </w:r>
    </w:p>
    <w:p>
      <w:pPr>
        <w:spacing w:line="360" w:lineRule="auto"/>
        <w:ind w:firstLine="420" w:firstLineChars="200"/>
        <w:rPr>
          <w:rFonts w:ascii="宋体"/>
          <w:szCs w:val="21"/>
        </w:rPr>
      </w:pPr>
      <w:r>
        <w:rPr>
          <w:rFonts w:hint="eastAsia" w:ascii="宋体" w:hAnsi="宋体"/>
          <w:szCs w:val="21"/>
        </w:rPr>
        <w:t>乙方违反本合同约定，在证据充分情况下，该项违约金经甲方签字即可生效，甲方仅有义务知会乙方。违约索赔通知单一经发出即生效，不以乙方签收为条件。本合同中所有乙方应支付的违约金，乙方在收到书面通知后未及时支付给甲方的，甲方有权通知乙方在给乙方的任何款项中扣除，不够补偿而乙方又未及时支付的，甲方有权采取法律途径或没收及处理乙方在工地的一些设施、设备及材料用于补偿。</w:t>
      </w:r>
    </w:p>
    <w:p>
      <w:pPr>
        <w:spacing w:line="360" w:lineRule="auto"/>
        <w:ind w:firstLine="420" w:firstLineChars="200"/>
        <w:rPr>
          <w:rFonts w:ascii="宋体"/>
          <w:szCs w:val="21"/>
        </w:rPr>
      </w:pPr>
      <w:r>
        <w:rPr>
          <w:rFonts w:hint="eastAsia" w:ascii="宋体" w:hAnsi="宋体"/>
          <w:szCs w:val="21"/>
        </w:rPr>
        <w:t>在工程施工过程中以及保修期内，由于乙方责任出现质量问题、安全事故或者其他原因，受到报纸、电视等媒体的曝光或政府有关主管部门的通报批评，均会给本工程的社会形象造成损失，乙方应消除由此给甲方带来的不良影响，每次须向甲方支付10000元违约金，违约金将直接从乙方工程进度款或保修款中扣除，且甲方还有权解除本合同。</w:t>
      </w:r>
    </w:p>
    <w:p>
      <w:pPr>
        <w:spacing w:line="360" w:lineRule="auto"/>
        <w:ind w:firstLine="420" w:firstLineChars="200"/>
        <w:rPr>
          <w:rFonts w:ascii="宋体"/>
          <w:szCs w:val="21"/>
        </w:rPr>
      </w:pPr>
      <w:r>
        <w:rPr>
          <w:rFonts w:hint="eastAsia" w:ascii="宋体" w:hAnsi="宋体"/>
          <w:szCs w:val="21"/>
        </w:rPr>
        <w:t>如因乙方不能及时支付民工工资或材料商材料款，造成纠纷而在工地肇事，乙方应承担违约责任，除应及时支付相应款项外，还须向甲方赔偿违约金10000元/次，违约金将直接从工程款中扣除。</w:t>
      </w:r>
    </w:p>
    <w:p>
      <w:pPr>
        <w:spacing w:line="360" w:lineRule="auto"/>
        <w:ind w:firstLine="420" w:firstLineChars="200"/>
        <w:rPr>
          <w:rFonts w:ascii="宋体"/>
          <w:szCs w:val="21"/>
        </w:rPr>
      </w:pPr>
      <w:r>
        <w:rPr>
          <w:rFonts w:hint="eastAsia" w:ascii="宋体" w:hAnsi="宋体"/>
          <w:szCs w:val="21"/>
        </w:rPr>
        <w:t>乙方保证在实际施工过程中不将该工程转包或违法分包，甲方有确凿证据证明转包或违法分包属实，无论是否给甲方造成损失，甲方将直接扣除全额工程款并有权解除合同，保证金不足以弥补甲方损失的，甲方有权继续追偿。</w:t>
      </w:r>
    </w:p>
    <w:p>
      <w:pPr>
        <w:spacing w:line="360" w:lineRule="auto"/>
        <w:ind w:firstLine="420" w:firstLineChars="200"/>
        <w:rPr>
          <w:rFonts w:ascii="宋体"/>
          <w:szCs w:val="21"/>
        </w:rPr>
      </w:pPr>
      <w:r>
        <w:rPr>
          <w:rFonts w:hint="eastAsia" w:ascii="宋体" w:hAnsi="宋体"/>
          <w:szCs w:val="21"/>
        </w:rPr>
        <w:t>若乙方需向甲方赔偿的违约金额累计达到合同金额的10%时，甲方有权单方面终止合同。</w:t>
      </w:r>
    </w:p>
    <w:p>
      <w:pPr>
        <w:keepNext/>
        <w:spacing w:before="260" w:after="260" w:line="360" w:lineRule="auto"/>
        <w:jc w:val="center"/>
        <w:outlineLvl w:val="1"/>
        <w:rPr>
          <w:rFonts w:ascii="宋体" w:hAnsi="宋体"/>
          <w:b/>
          <w:bCs/>
          <w:sz w:val="30"/>
          <w:szCs w:val="30"/>
        </w:rPr>
      </w:pPr>
      <w:bookmarkStart w:id="112" w:name="_Toc14507"/>
      <w:bookmarkStart w:id="113" w:name="_Toc16722"/>
      <w:bookmarkStart w:id="114" w:name="_Toc25860357"/>
      <w:bookmarkStart w:id="115" w:name="_Toc23259167"/>
      <w:bookmarkStart w:id="116" w:name="_Toc23259367"/>
      <w:bookmarkStart w:id="117" w:name="_Toc52888952"/>
      <w:r>
        <w:rPr>
          <w:rFonts w:hint="eastAsia" w:ascii="宋体" w:hAnsi="宋体"/>
          <w:b/>
          <w:bCs/>
          <w:sz w:val="30"/>
          <w:szCs w:val="30"/>
        </w:rPr>
        <w:t>第八章  合同有效组成文件</w:t>
      </w:r>
      <w:bookmarkEnd w:id="112"/>
      <w:bookmarkEnd w:id="113"/>
      <w:bookmarkEnd w:id="114"/>
      <w:bookmarkEnd w:id="115"/>
      <w:bookmarkEnd w:id="116"/>
      <w:bookmarkEnd w:id="117"/>
    </w:p>
    <w:p>
      <w:pPr>
        <w:spacing w:line="360" w:lineRule="auto"/>
        <w:ind w:left="422" w:hanging="422" w:hangingChars="200"/>
        <w:rPr>
          <w:rFonts w:ascii="宋体" w:hAnsi="宋体"/>
          <w:b/>
          <w:bCs/>
          <w:szCs w:val="21"/>
        </w:rPr>
      </w:pPr>
      <w:r>
        <w:rPr>
          <w:rFonts w:hint="eastAsia" w:ascii="宋体" w:hAnsi="宋体"/>
          <w:b/>
          <w:bCs/>
          <w:szCs w:val="21"/>
        </w:rPr>
        <w:t>合同有效组成文件及解释顺序</w:t>
      </w:r>
    </w:p>
    <w:p>
      <w:pPr>
        <w:spacing w:line="360" w:lineRule="auto"/>
        <w:ind w:left="420" w:hanging="420" w:hangingChars="200"/>
        <w:rPr>
          <w:rFonts w:ascii="宋体" w:hAnsi="宋体"/>
          <w:b/>
          <w:bCs/>
          <w:szCs w:val="21"/>
        </w:rPr>
      </w:pPr>
      <w:r>
        <w:rPr>
          <w:rFonts w:hint="eastAsia" w:ascii="宋体" w:hAnsi="宋体"/>
          <w:szCs w:val="21"/>
        </w:rPr>
        <w:t>合同主要由专用条款及通用条款组成，合同的组成文件及解释顺序如下：</w:t>
      </w:r>
    </w:p>
    <w:p>
      <w:pPr>
        <w:numPr>
          <w:ilvl w:val="0"/>
          <w:numId w:val="44"/>
        </w:numPr>
        <w:spacing w:line="360" w:lineRule="auto"/>
        <w:rPr>
          <w:rFonts w:ascii="宋体" w:hAnsi="宋体"/>
          <w:szCs w:val="21"/>
        </w:rPr>
      </w:pPr>
      <w:r>
        <w:rPr>
          <w:rFonts w:hint="eastAsia" w:ascii="宋体" w:hAnsi="宋体"/>
          <w:szCs w:val="21"/>
        </w:rPr>
        <w:t>合同履行中，甲方与乙方有关工程的洽商、变更等书面协议或文件。</w:t>
      </w:r>
    </w:p>
    <w:p>
      <w:pPr>
        <w:numPr>
          <w:ilvl w:val="0"/>
          <w:numId w:val="44"/>
        </w:numPr>
        <w:spacing w:line="360" w:lineRule="auto"/>
        <w:rPr>
          <w:rFonts w:ascii="宋体" w:hAnsi="宋体"/>
          <w:szCs w:val="21"/>
        </w:rPr>
      </w:pPr>
      <w:r>
        <w:rPr>
          <w:rFonts w:hint="eastAsia" w:ascii="宋体" w:hAnsi="宋体"/>
          <w:szCs w:val="21"/>
        </w:rPr>
        <w:t>合同专用条款及附件。</w:t>
      </w:r>
    </w:p>
    <w:p>
      <w:pPr>
        <w:numPr>
          <w:ilvl w:val="0"/>
          <w:numId w:val="44"/>
        </w:numPr>
        <w:spacing w:line="360" w:lineRule="auto"/>
        <w:rPr>
          <w:rFonts w:ascii="宋体" w:hAnsi="宋体"/>
          <w:szCs w:val="21"/>
        </w:rPr>
      </w:pPr>
      <w:r>
        <w:rPr>
          <w:rFonts w:hint="eastAsia" w:ascii="宋体" w:hAnsi="宋体"/>
          <w:szCs w:val="21"/>
        </w:rPr>
        <w:t>合同通用条款。</w:t>
      </w:r>
    </w:p>
    <w:p>
      <w:pPr>
        <w:numPr>
          <w:ilvl w:val="0"/>
          <w:numId w:val="44"/>
        </w:numPr>
        <w:spacing w:line="360" w:lineRule="auto"/>
        <w:rPr>
          <w:rFonts w:ascii="宋体" w:hAnsi="宋体"/>
          <w:szCs w:val="21"/>
        </w:rPr>
      </w:pPr>
      <w:r>
        <w:rPr>
          <w:rFonts w:hint="eastAsia" w:ascii="宋体" w:hAnsi="宋体"/>
          <w:szCs w:val="21"/>
        </w:rPr>
        <w:t>中标通知书。</w:t>
      </w:r>
    </w:p>
    <w:p>
      <w:pPr>
        <w:numPr>
          <w:ilvl w:val="0"/>
          <w:numId w:val="44"/>
        </w:numPr>
        <w:spacing w:line="360" w:lineRule="auto"/>
        <w:rPr>
          <w:rFonts w:ascii="宋体" w:hAnsi="宋体"/>
          <w:szCs w:val="21"/>
        </w:rPr>
      </w:pPr>
      <w:r>
        <w:rPr>
          <w:rFonts w:hint="eastAsia" w:ascii="宋体" w:hAnsi="宋体"/>
          <w:szCs w:val="21"/>
        </w:rPr>
        <w:t>投标书、报价书及双方确认的询标记录、招标资料、工程量清单。</w:t>
      </w:r>
    </w:p>
    <w:p>
      <w:pPr>
        <w:numPr>
          <w:ilvl w:val="0"/>
          <w:numId w:val="44"/>
        </w:numPr>
        <w:spacing w:line="360" w:lineRule="auto"/>
        <w:rPr>
          <w:rFonts w:ascii="宋体" w:hAnsi="宋体"/>
          <w:szCs w:val="21"/>
        </w:rPr>
      </w:pPr>
      <w:r>
        <w:rPr>
          <w:rFonts w:hint="eastAsia" w:ascii="宋体" w:hAnsi="宋体"/>
          <w:szCs w:val="21"/>
        </w:rPr>
        <w:t>标准、规范及有关技术文件</w:t>
      </w:r>
    </w:p>
    <w:p>
      <w:pPr>
        <w:numPr>
          <w:ilvl w:val="0"/>
          <w:numId w:val="44"/>
        </w:numPr>
        <w:spacing w:line="360" w:lineRule="auto"/>
        <w:rPr>
          <w:rFonts w:ascii="宋体" w:hAnsi="宋体"/>
          <w:szCs w:val="21"/>
        </w:rPr>
      </w:pPr>
      <w:r>
        <w:rPr>
          <w:rFonts w:hint="eastAsia" w:ascii="宋体" w:hAnsi="宋体"/>
          <w:szCs w:val="21"/>
        </w:rPr>
        <w:t>招标资料解释先后顺序为：招标答疑、报价说明、招标说明、招标补充说明、招标图纸等。</w:t>
      </w:r>
    </w:p>
    <w:p>
      <w:pPr>
        <w:numPr>
          <w:ilvl w:val="0"/>
          <w:numId w:val="44"/>
        </w:numPr>
        <w:spacing w:line="360" w:lineRule="auto"/>
        <w:rPr>
          <w:rFonts w:ascii="宋体" w:hAnsi="宋体"/>
          <w:szCs w:val="21"/>
        </w:rPr>
      </w:pPr>
      <w:r>
        <w:rPr>
          <w:rFonts w:hint="eastAsia" w:ascii="宋体" w:hAnsi="宋体"/>
          <w:szCs w:val="21"/>
        </w:rPr>
        <w:t>上述文件应互为补充和解释，如有不清或互相矛盾之处，以上面所列顺序在前为准。</w:t>
      </w:r>
    </w:p>
    <w:p>
      <w:pPr>
        <w:keepNext/>
        <w:spacing w:before="260" w:after="260" w:line="360" w:lineRule="auto"/>
        <w:jc w:val="center"/>
        <w:outlineLvl w:val="1"/>
        <w:rPr>
          <w:rFonts w:ascii="宋体" w:hAnsi="宋体" w:eastAsia="黑体"/>
          <w:b/>
          <w:bCs/>
          <w:sz w:val="32"/>
          <w:szCs w:val="32"/>
        </w:rPr>
      </w:pPr>
      <w:r>
        <w:rPr>
          <w:rFonts w:hint="eastAsia" w:ascii="宋体" w:hAnsi="宋体"/>
          <w:b/>
          <w:bCs/>
          <w:sz w:val="30"/>
          <w:szCs w:val="30"/>
        </w:rPr>
        <w:br w:type="page"/>
      </w:r>
      <w:bookmarkStart w:id="118" w:name="_Toc23259168"/>
      <w:bookmarkStart w:id="119" w:name="_Toc23259368"/>
      <w:bookmarkStart w:id="120" w:name="_Toc16145"/>
      <w:bookmarkStart w:id="121" w:name="_Toc25860358"/>
      <w:bookmarkStart w:id="122" w:name="_Toc52888953"/>
      <w:bookmarkStart w:id="123" w:name="_Toc7054"/>
      <w:r>
        <w:rPr>
          <w:rFonts w:hint="eastAsia" w:ascii="宋体" w:hAnsi="宋体"/>
          <w:b/>
          <w:bCs/>
          <w:sz w:val="30"/>
          <w:szCs w:val="30"/>
        </w:rPr>
        <w:t>第九章  其他</w:t>
      </w:r>
      <w:bookmarkEnd w:id="118"/>
      <w:bookmarkEnd w:id="119"/>
      <w:bookmarkEnd w:id="120"/>
      <w:bookmarkEnd w:id="121"/>
      <w:bookmarkEnd w:id="122"/>
      <w:bookmarkEnd w:id="123"/>
    </w:p>
    <w:p>
      <w:pPr>
        <w:numPr>
          <w:ilvl w:val="0"/>
          <w:numId w:val="45"/>
        </w:numPr>
        <w:spacing w:line="360" w:lineRule="auto"/>
        <w:rPr>
          <w:rFonts w:ascii="宋体" w:hAnsi="宋体"/>
          <w:szCs w:val="21"/>
        </w:rPr>
      </w:pPr>
      <w:r>
        <w:rPr>
          <w:rFonts w:hint="eastAsia" w:ascii="宋体" w:hAnsi="宋体"/>
          <w:szCs w:val="21"/>
        </w:rPr>
        <w:t>争议解决</w:t>
      </w:r>
    </w:p>
    <w:p>
      <w:pPr>
        <w:spacing w:line="360" w:lineRule="auto"/>
        <w:ind w:firstLine="420" w:firstLineChars="200"/>
        <w:rPr>
          <w:rFonts w:ascii="宋体" w:hAnsi="宋体"/>
          <w:szCs w:val="21"/>
        </w:rPr>
      </w:pPr>
      <w:r>
        <w:rPr>
          <w:rFonts w:hint="eastAsia" w:ascii="宋体" w:hAnsi="宋体"/>
          <w:szCs w:val="21"/>
        </w:rPr>
        <w:t>因本合同成立、生效、履行、解除及终止所产生的争议双方应友好协商解决，协商不成的，任何一方有权将争议提交至工程所在地有管辖权的法院诉讼解决。</w:t>
      </w:r>
    </w:p>
    <w:p>
      <w:pPr>
        <w:spacing w:line="360" w:lineRule="auto"/>
        <w:ind w:left="422" w:hanging="422" w:hangingChars="200"/>
        <w:rPr>
          <w:rFonts w:ascii="宋体" w:hAnsi="宋体"/>
          <w:b/>
          <w:bCs/>
          <w:szCs w:val="21"/>
        </w:rPr>
      </w:pPr>
      <w:r>
        <w:rPr>
          <w:rFonts w:hint="eastAsia" w:ascii="宋体" w:hAnsi="宋体"/>
          <w:b/>
          <w:bCs/>
          <w:szCs w:val="21"/>
        </w:rPr>
        <w:t>合同协议书生效</w:t>
      </w:r>
    </w:p>
    <w:p>
      <w:pPr>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cs="Courier New"/>
          <w:szCs w:val="21"/>
          <w:u w:val="single"/>
        </w:rPr>
        <w:t xml:space="preserve"> 2</w:t>
      </w:r>
      <w:r>
        <w:rPr>
          <w:rFonts w:hint="eastAsia" w:ascii="宋体" w:hAnsi="宋体"/>
          <w:szCs w:val="21"/>
        </w:rPr>
        <w:t>份，甲方执</w:t>
      </w:r>
      <w:r>
        <w:rPr>
          <w:rFonts w:hint="eastAsia" w:ascii="宋体" w:hAnsi="宋体" w:cs="Courier New"/>
          <w:szCs w:val="21"/>
          <w:u w:val="single"/>
        </w:rPr>
        <w:t>1</w:t>
      </w:r>
      <w:r>
        <w:rPr>
          <w:rFonts w:hint="eastAsia" w:ascii="宋体" w:hAnsi="宋体"/>
          <w:szCs w:val="21"/>
        </w:rPr>
        <w:t>份，乙方执</w:t>
      </w:r>
      <w:r>
        <w:rPr>
          <w:rFonts w:hint="eastAsia" w:ascii="宋体" w:hAnsi="宋体" w:cs="Courier New"/>
          <w:szCs w:val="21"/>
          <w:u w:val="single"/>
        </w:rPr>
        <w:t xml:space="preserve">1 </w:t>
      </w:r>
      <w:r>
        <w:rPr>
          <w:rFonts w:hint="eastAsia" w:ascii="宋体" w:hAnsi="宋体"/>
          <w:szCs w:val="21"/>
        </w:rPr>
        <w:t>份，均具同等法律效力，自双方签字盖章之日起生效。在本合同全部工程竣工验收且双方履行完各自的职责后失效；如自生效之日起12个月期满后，甲方没有通知乙方开工的，则本合同自动失效。</w:t>
      </w:r>
    </w:p>
    <w:p>
      <w:pPr>
        <w:spacing w:line="360" w:lineRule="auto"/>
        <w:rPr>
          <w:szCs w:val="21"/>
        </w:rPr>
      </w:pPr>
      <w:r>
        <w:rPr>
          <w:rFonts w:hint="eastAsia" w:ascii="宋体" w:hAnsi="宋体"/>
          <w:szCs w:val="21"/>
        </w:rPr>
        <w:t>合同签订地点：佛山市</w:t>
      </w:r>
    </w:p>
    <w:p>
      <w:pPr>
        <w:pStyle w:val="3"/>
        <w:keepNext w:val="0"/>
        <w:keepLines w:val="0"/>
        <w:pageBreakBefore/>
        <w:numPr>
          <w:ilvl w:val="0"/>
          <w:numId w:val="46"/>
        </w:numPr>
        <w:spacing w:line="360" w:lineRule="auto"/>
        <w:jc w:val="center"/>
        <w:rPr>
          <w:rFonts w:ascii="宋体" w:hAnsi="宋体"/>
          <w:sz w:val="30"/>
          <w:szCs w:val="30"/>
        </w:rPr>
      </w:pPr>
      <w:bookmarkStart w:id="124" w:name="_Toc52888954"/>
      <w:r>
        <w:rPr>
          <w:rFonts w:hint="eastAsia" w:ascii="宋体" w:hAnsi="宋体"/>
          <w:sz w:val="30"/>
          <w:szCs w:val="30"/>
        </w:rPr>
        <w:t>技术需求</w:t>
      </w:r>
      <w:bookmarkEnd w:id="124"/>
    </w:p>
    <w:p>
      <w:pPr>
        <w:pStyle w:val="4"/>
        <w:keepNext w:val="0"/>
        <w:keepLines w:val="0"/>
        <w:numPr>
          <w:ilvl w:val="0"/>
          <w:numId w:val="47"/>
        </w:numPr>
        <w:spacing w:line="360" w:lineRule="auto"/>
        <w:jc w:val="center"/>
        <w:rPr>
          <w:rFonts w:eastAsia="宋体"/>
          <w:sz w:val="30"/>
          <w:szCs w:val="30"/>
        </w:rPr>
      </w:pPr>
      <w:bookmarkStart w:id="125" w:name="_Toc28358429"/>
      <w:bookmarkStart w:id="126" w:name="_Toc52888955"/>
      <w:r>
        <w:rPr>
          <w:rFonts w:hint="eastAsia" w:eastAsia="宋体"/>
          <w:sz w:val="30"/>
          <w:szCs w:val="30"/>
        </w:rPr>
        <w:t>项目总则</w:t>
      </w:r>
      <w:bookmarkEnd w:id="125"/>
      <w:bookmarkEnd w:id="126"/>
    </w:p>
    <w:p>
      <w:pPr>
        <w:pStyle w:val="17"/>
        <w:numPr>
          <w:ilvl w:val="1"/>
          <w:numId w:val="10"/>
        </w:numPr>
        <w:ind w:left="-1" w:leftChars="-1" w:hanging="1"/>
        <w:outlineLvl w:val="2"/>
        <w:rPr>
          <w:rFonts w:ascii="宋体" w:hAnsi="宋体"/>
          <w:sz w:val="24"/>
          <w:szCs w:val="24"/>
          <w:lang w:val="en-GB"/>
        </w:rPr>
      </w:pPr>
      <w:bookmarkStart w:id="127" w:name="_Toc52888956"/>
      <w:r>
        <w:rPr>
          <w:rFonts w:hint="eastAsia" w:ascii="宋体" w:hAnsi="宋体"/>
          <w:sz w:val="24"/>
          <w:szCs w:val="24"/>
          <w:lang w:val="en-GB"/>
        </w:rPr>
        <w:t>工程简介</w:t>
      </w:r>
      <w:bookmarkEnd w:id="127"/>
    </w:p>
    <w:p>
      <w:pPr>
        <w:spacing w:line="360" w:lineRule="auto"/>
        <w:ind w:firstLine="422" w:firstLineChars="200"/>
        <w:rPr>
          <w:rFonts w:ascii="宋体" w:hAnsi="宋体"/>
          <w:szCs w:val="21"/>
        </w:rPr>
      </w:pPr>
      <w:r>
        <w:rPr>
          <w:rFonts w:ascii="宋体" w:hAnsi="宋体"/>
          <w:b/>
          <w:bCs/>
          <w:szCs w:val="21"/>
        </w:rPr>
        <w:t>工程名称：</w:t>
      </w:r>
      <w:r>
        <w:rPr>
          <w:rFonts w:hint="eastAsia" w:ascii="宋体" w:hAnsi="宋体"/>
          <w:bCs/>
          <w:szCs w:val="21"/>
        </w:rPr>
        <w:t>数据中心</w:t>
      </w:r>
      <w:r>
        <w:rPr>
          <w:rFonts w:hint="eastAsia" w:ascii="宋体" w:hAnsi="宋体"/>
          <w:szCs w:val="21"/>
        </w:rPr>
        <w:t>建设项目</w:t>
      </w:r>
      <w:r>
        <w:rPr>
          <w:rFonts w:hint="eastAsia" w:ascii="宋体" w:hAnsi="宋体"/>
          <w:bCs/>
          <w:szCs w:val="21"/>
        </w:rPr>
        <w:t>（服务器、备份设备）部分</w:t>
      </w:r>
    </w:p>
    <w:p>
      <w:pPr>
        <w:spacing w:line="360" w:lineRule="auto"/>
        <w:ind w:firstLine="422" w:firstLineChars="200"/>
        <w:rPr>
          <w:rFonts w:ascii="宋体" w:hAnsi="宋体"/>
          <w:kern w:val="15"/>
          <w:szCs w:val="21"/>
        </w:rPr>
      </w:pPr>
      <w:r>
        <w:rPr>
          <w:rFonts w:ascii="宋体" w:hAnsi="宋体"/>
          <w:b/>
          <w:bCs/>
          <w:szCs w:val="21"/>
        </w:rPr>
        <w:t>工程地点</w:t>
      </w:r>
      <w:r>
        <w:rPr>
          <w:rFonts w:hint="eastAsia" w:ascii="宋体" w:hAnsi="宋体"/>
          <w:b/>
          <w:bCs/>
          <w:szCs w:val="21"/>
        </w:rPr>
        <w:t>：</w:t>
      </w:r>
      <w:r>
        <w:rPr>
          <w:rFonts w:hint="eastAsia" w:ascii="宋体" w:hAnsi="宋体"/>
          <w:kern w:val="15"/>
          <w:szCs w:val="21"/>
        </w:rPr>
        <w:t>广东省佛山市禅城区南庄镇季华西路125号兴发大厦2号楼5楼</w:t>
      </w:r>
    </w:p>
    <w:p>
      <w:pPr>
        <w:spacing w:line="360" w:lineRule="auto"/>
        <w:ind w:firstLine="422" w:firstLineChars="200"/>
        <w:rPr>
          <w:rFonts w:ascii="宋体" w:hAnsi="宋体"/>
          <w:b/>
          <w:bCs/>
          <w:szCs w:val="21"/>
        </w:rPr>
      </w:pPr>
      <w:r>
        <w:rPr>
          <w:rFonts w:hint="eastAsia" w:ascii="宋体" w:hAnsi="宋体"/>
          <w:b/>
          <w:bCs/>
          <w:szCs w:val="21"/>
        </w:rPr>
        <w:t>工程简介：</w:t>
      </w:r>
    </w:p>
    <w:p>
      <w:pPr>
        <w:pStyle w:val="7"/>
        <w:spacing w:line="360" w:lineRule="auto"/>
        <w:jc w:val="left"/>
        <w:rPr>
          <w:color w:val="000000" w:themeColor="text1"/>
          <w14:textFill>
            <w14:solidFill>
              <w14:schemeClr w14:val="tx1"/>
            </w14:solidFill>
          </w14:textFill>
        </w:rPr>
      </w:pPr>
      <w:r>
        <w:rPr>
          <w:rFonts w:hint="eastAsia" w:ascii="宋体" w:hAnsi="宋体"/>
          <w:color w:val="000000" w:themeColor="text1"/>
          <w:szCs w:val="21"/>
          <w14:textFill>
            <w14:solidFill>
              <w14:schemeClr w14:val="tx1"/>
            </w14:solidFill>
          </w14:textFill>
        </w:rPr>
        <w:t>兴发大厦数据中心机房</w:t>
      </w:r>
      <w:r>
        <w:rPr>
          <w:rFonts w:hint="eastAsia"/>
          <w:color w:val="000000" w:themeColor="text1"/>
          <w14:textFill>
            <w14:solidFill>
              <w14:schemeClr w14:val="tx1"/>
            </w14:solidFill>
          </w14:textFill>
        </w:rPr>
        <w:t>是企业数字化建设中重要的基础工程，机房位于佛山南庄兴发大厦</w:t>
      </w:r>
      <w:r>
        <w:rPr>
          <w:color w:val="000000" w:themeColor="text1"/>
          <w14:textFill>
            <w14:solidFill>
              <w14:schemeClr w14:val="tx1"/>
            </w14:solidFill>
          </w14:textFill>
        </w:rPr>
        <w:t xml:space="preserve"> 2 </w:t>
      </w:r>
      <w:r>
        <w:rPr>
          <w:rFonts w:hint="eastAsia"/>
          <w:color w:val="000000" w:themeColor="text1"/>
          <w14:textFill>
            <w14:solidFill>
              <w14:schemeClr w14:val="tx1"/>
            </w14:solidFill>
          </w14:textFill>
        </w:rPr>
        <w:t>号楼</w:t>
      </w:r>
      <w:r>
        <w:rPr>
          <w:color w:val="000000" w:themeColor="text1"/>
          <w14:textFill>
            <w14:solidFill>
              <w14:schemeClr w14:val="tx1"/>
            </w14:solidFill>
          </w14:textFill>
        </w:rPr>
        <w:t xml:space="preserve"> 5 </w:t>
      </w:r>
      <w:r>
        <w:rPr>
          <w:rFonts w:hint="eastAsia"/>
          <w:color w:val="000000" w:themeColor="text1"/>
          <w14:textFill>
            <w14:solidFill>
              <w14:schemeClr w14:val="tx1"/>
            </w14:solidFill>
          </w14:textFill>
        </w:rPr>
        <w:t>楼东北角</w:t>
      </w:r>
      <w:r>
        <w:rPr>
          <w:color w:val="000000" w:themeColor="text1"/>
          <w14:textFill>
            <w14:solidFill>
              <w14:schemeClr w14:val="tx1"/>
            </w14:solidFill>
          </w14:textFill>
        </w:rPr>
        <w:t xml:space="preserve"> 511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512 </w:t>
      </w:r>
      <w:r>
        <w:rPr>
          <w:rFonts w:hint="eastAsia"/>
          <w:color w:val="000000" w:themeColor="text1"/>
          <w14:textFill>
            <w14:solidFill>
              <w14:schemeClr w14:val="tx1"/>
            </w14:solidFill>
          </w14:textFill>
        </w:rPr>
        <w:t>房，面积约</w:t>
      </w:r>
      <w:r>
        <w:rPr>
          <w:color w:val="000000" w:themeColor="text1"/>
          <w14:textFill>
            <w14:solidFill>
              <w14:schemeClr w14:val="tx1"/>
            </w14:solidFill>
          </w14:textFill>
        </w:rPr>
        <w:t>130</w:t>
      </w:r>
      <w:r>
        <w:rPr>
          <w:rFonts w:hint="eastAsia"/>
          <w:color w:val="000000" w:themeColor="text1"/>
          <w14:textFill>
            <w14:solidFill>
              <w14:schemeClr w14:val="tx1"/>
            </w14:solidFill>
          </w14:textFill>
        </w:rPr>
        <w:t>㎡米，</w:t>
      </w:r>
      <w:r>
        <w:rPr>
          <w:rFonts w:hint="eastAsia"/>
        </w:rPr>
        <w:t>以先进的冷通道模式建设，有30个服务器机柜，配备双U</w:t>
      </w:r>
      <w:r>
        <w:t>PS</w:t>
      </w:r>
      <w:r>
        <w:rPr>
          <w:rFonts w:hint="eastAsia"/>
        </w:rPr>
        <w:t>、精密空调。将</w:t>
      </w:r>
      <w:r>
        <w:rPr>
          <w:rFonts w:hint="eastAsia"/>
          <w:color w:val="000000" w:themeColor="text1"/>
          <w14:textFill>
            <w14:solidFill>
              <w14:schemeClr w14:val="tx1"/>
            </w14:solidFill>
          </w14:textFill>
        </w:rPr>
        <w:t>在此机房建设一套私有云平台，充分运用云计算、大数据等先进理念和技术，按照“集约高效、共享开放、安全可靠、按需服务”的原则，以“云网合一、云数联动”为构架，建成兴发私有云平台，实现兴发集团各公司部门基础设施共建共用、信息系统整体部署、数据资源汇聚共享、业务应用有效协同，开展大数据开发利用，为企业管理和公共服务提供有力支持，提高为民服务水平，提升现代治理能力。</w:t>
      </w:r>
    </w:p>
    <w:p>
      <w:pPr>
        <w:pStyle w:val="7"/>
        <w:spacing w:line="360" w:lineRule="auto"/>
        <w:jc w:val="left"/>
      </w:pPr>
      <w:r>
        <w:rPr>
          <w:rFonts w:hint="eastAsia"/>
        </w:rPr>
        <w:t>在有效降低重复建设投资、节能环保的基础上，提高基础设施资源的利用率，实现兴发铝业信息化基础设施资源的统一规划、统一建设、按需调配、即需即用、有效共享。通过合理规划、小步快跑的方式，在实现建设集约化、信息共享化、服务标准化、效益最大化的同时，满足兴发集团各公司、部门、用户</w:t>
      </w:r>
      <w:r>
        <w:t>IT</w:t>
      </w:r>
      <w:r>
        <w:rPr>
          <w:rFonts w:hint="eastAsia"/>
        </w:rPr>
        <w:t>基础设施的应用需求，为未来大数据产业奠定基础。机房机柜平面布局图如下：</w:t>
      </w:r>
    </w:p>
    <w:p>
      <w:pPr>
        <w:pStyle w:val="7"/>
        <w:spacing w:line="360" w:lineRule="auto"/>
        <w:ind w:firstLine="0" w:firstLineChars="0"/>
        <w:jc w:val="left"/>
      </w:pPr>
      <w:r>
        <w:rPr>
          <w:rFonts w:hint="eastAsia"/>
        </w:rPr>
        <w:drawing>
          <wp:inline distT="0" distB="0" distL="0" distR="0">
            <wp:extent cx="5867400" cy="1975485"/>
            <wp:effectExtent l="0" t="0" r="0" b="57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67400" cy="1975485"/>
                    </a:xfrm>
                    <a:prstGeom prst="rect">
                      <a:avLst/>
                    </a:prstGeom>
                  </pic:spPr>
                </pic:pic>
              </a:graphicData>
            </a:graphic>
          </wp:inline>
        </w:drawing>
      </w:r>
    </w:p>
    <w:p>
      <w:pPr>
        <w:pStyle w:val="17"/>
        <w:numPr>
          <w:ilvl w:val="1"/>
          <w:numId w:val="10"/>
        </w:numPr>
        <w:ind w:left="-1" w:leftChars="-1" w:hanging="1"/>
        <w:outlineLvl w:val="2"/>
        <w:rPr>
          <w:sz w:val="24"/>
          <w:szCs w:val="24"/>
          <w:lang w:val="en-GB"/>
        </w:rPr>
      </w:pPr>
      <w:bookmarkStart w:id="128" w:name="_Toc12263049"/>
      <w:bookmarkStart w:id="129" w:name="_Toc535855009"/>
      <w:bookmarkStart w:id="130" w:name="_Toc52888957"/>
      <w:r>
        <w:rPr>
          <w:rFonts w:hint="eastAsia" w:ascii="宋体" w:hAnsi="宋体"/>
          <w:sz w:val="24"/>
          <w:szCs w:val="24"/>
          <w:lang w:val="en-GB"/>
        </w:rPr>
        <w:t>建设目标</w:t>
      </w:r>
      <w:bookmarkEnd w:id="128"/>
      <w:bookmarkEnd w:id="129"/>
      <w:bookmarkEnd w:id="130"/>
    </w:p>
    <w:p>
      <w:pPr>
        <w:pStyle w:val="7"/>
        <w:spacing w:line="360" w:lineRule="auto"/>
        <w:jc w:val="left"/>
        <w:rPr>
          <w:rFonts w:ascii="宋体" w:hAnsi="宋体"/>
          <w:szCs w:val="21"/>
        </w:rPr>
      </w:pPr>
      <w:r>
        <w:rPr>
          <w:rFonts w:hint="eastAsia" w:ascii="宋体" w:hAnsi="宋体"/>
          <w:szCs w:val="21"/>
        </w:rPr>
        <w:t>本项目目标在于借助于数字化转型建设的契机，搭建兴发铝业私有云。通过私有云的</w:t>
      </w:r>
      <w:r>
        <w:rPr>
          <w:rFonts w:ascii="宋体" w:hAnsi="宋体"/>
          <w:szCs w:val="21"/>
        </w:rPr>
        <w:t>建设</w:t>
      </w:r>
      <w:r>
        <w:rPr>
          <w:rFonts w:hint="eastAsia" w:ascii="宋体" w:hAnsi="宋体"/>
          <w:szCs w:val="21"/>
        </w:rPr>
        <w:t>及结合多云管理平台，建立起一朵完善的体系云架构，满足和适应集团快速增长所需的环境和工具，同时也藉由私有云的建立来提升兴发铝业IT部门战略地位，达到统一管理、统一技术架构、统一客户账户、统一数据，有效促进集团集中IT</w:t>
      </w:r>
      <w:r>
        <w:rPr>
          <w:rFonts w:ascii="宋体" w:hAnsi="宋体"/>
          <w:szCs w:val="21"/>
        </w:rPr>
        <w:t>基础</w:t>
      </w:r>
      <w:r>
        <w:rPr>
          <w:rFonts w:hint="eastAsia" w:ascii="宋体" w:hAnsi="宋体"/>
          <w:szCs w:val="21"/>
        </w:rPr>
        <w:t>架构、公司化治理，解决企业周期性基础设施建设投入</w:t>
      </w:r>
      <w:r>
        <w:rPr>
          <w:rFonts w:ascii="宋体" w:hAnsi="宋体"/>
          <w:szCs w:val="21"/>
        </w:rPr>
        <w:t>弊端</w:t>
      </w:r>
      <w:r>
        <w:rPr>
          <w:rFonts w:hint="eastAsia" w:ascii="宋体" w:hAnsi="宋体"/>
          <w:szCs w:val="21"/>
        </w:rPr>
        <w:t>。</w:t>
      </w:r>
    </w:p>
    <w:p>
      <w:pPr>
        <w:pStyle w:val="7"/>
        <w:spacing w:line="360" w:lineRule="auto"/>
        <w:ind w:firstLine="422"/>
        <w:jc w:val="left"/>
        <w:rPr>
          <w:rFonts w:ascii="宋体" w:hAnsi="宋体"/>
          <w:szCs w:val="21"/>
        </w:rPr>
      </w:pPr>
      <w:r>
        <w:rPr>
          <w:rFonts w:hint="eastAsia" w:ascii="宋体" w:hAnsi="宋体"/>
          <w:b/>
          <w:bCs/>
          <w:szCs w:val="21"/>
        </w:rPr>
        <w:t>本此招标范围为云平台的云计算服务器、独立应用服务器和存储柜、备份系统</w:t>
      </w:r>
      <w:r>
        <w:rPr>
          <w:rFonts w:hint="eastAsia" w:ascii="宋体" w:hAnsi="宋体"/>
          <w:szCs w:val="21"/>
        </w:rPr>
        <w:t>，为下一步建设云平台铺路。网络拓扑图如下：</w:t>
      </w:r>
    </w:p>
    <w:p>
      <w:pPr>
        <w:pStyle w:val="7"/>
        <w:spacing w:line="360" w:lineRule="auto"/>
        <w:ind w:firstLine="0" w:firstLineChars="0"/>
        <w:jc w:val="left"/>
        <w:rPr>
          <w:rFonts w:ascii="宋体" w:hAnsi="宋体"/>
          <w:szCs w:val="21"/>
        </w:rPr>
      </w:pPr>
      <w:r>
        <w:rPr>
          <w:rFonts w:hint="eastAsia" w:ascii="宋体" w:hAnsi="宋体"/>
          <w:szCs w:val="21"/>
        </w:rPr>
        <w:drawing>
          <wp:inline distT="0" distB="0" distL="0" distR="0">
            <wp:extent cx="5326380" cy="7375525"/>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372488" cy="7439502"/>
                    </a:xfrm>
                    <a:prstGeom prst="rect">
                      <a:avLst/>
                    </a:prstGeom>
                  </pic:spPr>
                </pic:pic>
              </a:graphicData>
            </a:graphic>
          </wp:inline>
        </w:drawing>
      </w:r>
    </w:p>
    <w:p>
      <w:pPr>
        <w:pStyle w:val="7"/>
        <w:spacing w:line="360" w:lineRule="auto"/>
        <w:ind w:firstLine="0" w:firstLineChars="0"/>
        <w:jc w:val="left"/>
        <w:rPr>
          <w:rFonts w:ascii="宋体" w:hAnsi="宋体"/>
          <w:szCs w:val="21"/>
        </w:rPr>
      </w:pPr>
      <w:r>
        <w:rPr>
          <w:rFonts w:hint="eastAsia" w:ascii="宋体" w:hAnsi="宋体"/>
          <w:szCs w:val="21"/>
        </w:rPr>
        <w:t>服务器设备机柜布置图：</w:t>
      </w:r>
    </w:p>
    <w:p>
      <w:r>
        <w:drawing>
          <wp:inline distT="0" distB="0" distL="0" distR="0">
            <wp:extent cx="5867400" cy="16522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867400" cy="1652270"/>
                    </a:xfrm>
                    <a:prstGeom prst="rect">
                      <a:avLst/>
                    </a:prstGeom>
                    <a:noFill/>
                    <a:ln>
                      <a:noFill/>
                    </a:ln>
                  </pic:spPr>
                </pic:pic>
              </a:graphicData>
            </a:graphic>
          </wp:inline>
        </w:drawing>
      </w:r>
    </w:p>
    <w:p>
      <w:pPr>
        <w:pStyle w:val="17"/>
        <w:numPr>
          <w:ilvl w:val="1"/>
          <w:numId w:val="10"/>
        </w:numPr>
        <w:ind w:left="-1" w:leftChars="-1" w:hanging="1"/>
        <w:outlineLvl w:val="2"/>
        <w:rPr>
          <w:rFonts w:ascii="宋体" w:hAnsi="宋体"/>
          <w:sz w:val="24"/>
          <w:szCs w:val="24"/>
          <w:lang w:val="en-GB"/>
        </w:rPr>
      </w:pPr>
      <w:bookmarkStart w:id="131" w:name="_Toc52888958"/>
      <w:r>
        <w:rPr>
          <w:rFonts w:hint="eastAsia" w:ascii="宋体" w:hAnsi="宋体"/>
          <w:sz w:val="24"/>
          <w:szCs w:val="24"/>
          <w:lang w:val="en-GB"/>
        </w:rPr>
        <w:t>物理设备资源需求</w:t>
      </w:r>
      <w:bookmarkEnd w:id="131"/>
    </w:p>
    <w:p>
      <w:pPr>
        <w:numPr>
          <w:ilvl w:val="0"/>
          <w:numId w:val="48"/>
        </w:numPr>
        <w:spacing w:line="360" w:lineRule="auto"/>
        <w:outlineLvl w:val="3"/>
        <w:rPr>
          <w:rFonts w:ascii="宋体" w:hAnsi="宋体"/>
          <w:b/>
          <w:bCs/>
          <w:szCs w:val="21"/>
        </w:rPr>
      </w:pPr>
      <w:r>
        <w:rPr>
          <w:rFonts w:hint="eastAsia" w:ascii="宋体" w:hAnsi="宋体"/>
          <w:b/>
          <w:bCs/>
          <w:szCs w:val="21"/>
        </w:rPr>
        <w:t>云计算资源服务器设备需求</w:t>
      </w:r>
    </w:p>
    <w:p>
      <w:pPr>
        <w:pStyle w:val="2"/>
        <w:spacing w:after="156" w:afterLines="50" w:line="360" w:lineRule="auto"/>
        <w:ind w:firstLine="422" w:firstLineChars="201"/>
        <w:rPr>
          <w:lang w:val="en-GB"/>
        </w:rPr>
      </w:pPr>
      <w:r>
        <w:rPr>
          <w:rFonts w:hint="eastAsia"/>
          <w:lang w:val="en-GB"/>
        </w:rPr>
        <w:t>本期云计算资源服务器设备使用高扩展能力的2</w:t>
      </w:r>
      <w:r>
        <w:rPr>
          <w:lang w:val="en-GB"/>
        </w:rPr>
        <w:t>U</w:t>
      </w:r>
      <w:r>
        <w:rPr>
          <w:rFonts w:hint="eastAsia"/>
          <w:lang w:val="en-GB"/>
        </w:rPr>
        <w:t>机架式服务器</w:t>
      </w:r>
      <w:r>
        <w:rPr>
          <w:lang w:val="en-GB"/>
        </w:rPr>
        <w:t>8</w:t>
      </w:r>
      <w:r>
        <w:rPr>
          <w:rFonts w:hint="eastAsia"/>
          <w:lang w:val="en-GB"/>
        </w:rPr>
        <w:t>台，配备英特尔最新一代C</w:t>
      </w:r>
      <w:r>
        <w:rPr>
          <w:lang w:val="en-GB"/>
        </w:rPr>
        <w:t>PU</w:t>
      </w:r>
      <w:r>
        <w:rPr>
          <w:rFonts w:hint="eastAsia"/>
          <w:lang w:val="en-GB"/>
        </w:rPr>
        <w:t>，主频</w:t>
      </w:r>
      <w:r>
        <w:rPr>
          <w:rFonts w:hint="eastAsia" w:ascii="等线" w:hAnsi="等线" w:eastAsia="等线"/>
          <w:color w:val="000000"/>
          <w:kern w:val="0"/>
          <w:sz w:val="18"/>
          <w:szCs w:val="18"/>
        </w:rPr>
        <w:t>≥</w:t>
      </w:r>
      <w:r>
        <w:rPr>
          <w:rFonts w:hint="eastAsia"/>
          <w:lang w:val="en-GB"/>
        </w:rPr>
        <w:t>2.1GHz，</w:t>
      </w:r>
      <w:r>
        <w:rPr>
          <w:rFonts w:hint="eastAsia"/>
          <w:b/>
          <w:bCs/>
          <w:lang w:val="en-GB"/>
        </w:rPr>
        <w:t>物理</w:t>
      </w:r>
      <w:r>
        <w:rPr>
          <w:rFonts w:hint="eastAsia"/>
          <w:lang w:val="en-GB"/>
        </w:rPr>
        <w:t>CPU核心数</w:t>
      </w:r>
      <w:r>
        <w:rPr>
          <w:rFonts w:hint="eastAsia" w:ascii="等线" w:hAnsi="等线" w:eastAsia="等线"/>
          <w:color w:val="000000"/>
          <w:kern w:val="0"/>
          <w:sz w:val="18"/>
          <w:szCs w:val="18"/>
        </w:rPr>
        <w:t>≥</w:t>
      </w:r>
      <w:r>
        <w:rPr>
          <w:lang w:val="en-GB"/>
        </w:rPr>
        <w:t>18</w:t>
      </w:r>
      <w:r>
        <w:rPr>
          <w:rFonts w:hint="eastAsia"/>
          <w:lang w:val="en-GB"/>
        </w:rPr>
        <w:t>核、内存总容量≥5TB，内存条频率为2933MHz。★注： 由于第一批服务器采购已选择华为服务器，为着确保私有云建设的硬件兼容性，本批</w:t>
      </w:r>
      <w:r>
        <w:rPr>
          <w:rFonts w:hint="eastAsia"/>
          <w:b/>
          <w:bCs/>
          <w:lang w:val="en-GB"/>
        </w:rPr>
        <w:t>云计算服务器</w:t>
      </w:r>
      <w:r>
        <w:rPr>
          <w:rFonts w:hint="eastAsia"/>
          <w:b/>
          <w:bCs/>
          <w:color w:val="FF0000"/>
          <w:lang w:val="en-GB"/>
        </w:rPr>
        <w:t>不能</w:t>
      </w:r>
      <w:r>
        <w:rPr>
          <w:rFonts w:hint="eastAsia"/>
          <w:b/>
          <w:bCs/>
          <w:lang w:val="en-GB"/>
        </w:rPr>
        <w:t>选择华为</w:t>
      </w:r>
      <w:r>
        <w:rPr>
          <w:rFonts w:hint="eastAsia"/>
          <w:lang w:val="en-GB"/>
        </w:rPr>
        <w:t>服务器。 如果选择华为服务器，视为弃标。</w:t>
      </w:r>
    </w:p>
    <w:p>
      <w:pPr>
        <w:numPr>
          <w:ilvl w:val="0"/>
          <w:numId w:val="48"/>
        </w:numPr>
        <w:spacing w:line="360" w:lineRule="auto"/>
        <w:outlineLvl w:val="3"/>
        <w:rPr>
          <w:rFonts w:ascii="宋体" w:hAnsi="宋体"/>
          <w:b/>
          <w:bCs/>
          <w:szCs w:val="21"/>
        </w:rPr>
      </w:pPr>
      <w:r>
        <w:rPr>
          <w:rFonts w:hint="eastAsia" w:ascii="宋体" w:hAnsi="宋体"/>
          <w:b/>
          <w:bCs/>
          <w:szCs w:val="21"/>
        </w:rPr>
        <w:t>独立计算与存储设备需求</w:t>
      </w:r>
    </w:p>
    <w:p>
      <w:pPr>
        <w:pStyle w:val="2"/>
        <w:spacing w:after="156" w:afterLines="50" w:line="360" w:lineRule="auto"/>
        <w:ind w:firstLine="422" w:firstLineChars="201"/>
      </w:pPr>
      <w:r>
        <w:rPr>
          <w:rFonts w:hint="eastAsia"/>
        </w:rPr>
        <w:t>本期需要另外有采购独立计算与存储设备1套，用于E</w:t>
      </w:r>
      <w:r>
        <w:t>RP</w:t>
      </w:r>
      <w:r>
        <w:rPr>
          <w:rFonts w:hint="eastAsia"/>
        </w:rPr>
        <w:t>的独立布署应用，此套设备不属云平台硬件，</w:t>
      </w:r>
      <w:r>
        <w:rPr>
          <w:rFonts w:hint="eastAsia"/>
          <w:lang w:val="en-GB"/>
        </w:rPr>
        <w:t>服务器设备使用高扩展能力的4</w:t>
      </w:r>
      <w:r>
        <w:rPr>
          <w:lang w:val="en-GB"/>
        </w:rPr>
        <w:t>U</w:t>
      </w:r>
      <w:r>
        <w:rPr>
          <w:rFonts w:hint="eastAsia"/>
          <w:lang w:val="en-GB"/>
        </w:rPr>
        <w:t>机架式服务器，配备英特尔最新一代C</w:t>
      </w:r>
      <w:r>
        <w:rPr>
          <w:lang w:val="en-GB"/>
        </w:rPr>
        <w:t>PU</w:t>
      </w:r>
      <w:r>
        <w:rPr>
          <w:rFonts w:hint="eastAsia"/>
          <w:lang w:val="en-GB"/>
        </w:rPr>
        <w:t>（单独不低于4路），主频≥2.1GHz，物理CPU核心数≥20核、内存总容量≥1TB，内存条频率为2933MHz；</w:t>
      </w:r>
      <w:r>
        <w:rPr>
          <w:rFonts w:hint="eastAsia"/>
        </w:rPr>
        <w:t>存储柜使用高护展能力的2</w:t>
      </w:r>
      <w:r>
        <w:t>U</w:t>
      </w:r>
      <w:r>
        <w:rPr>
          <w:rFonts w:hint="eastAsia"/>
        </w:rPr>
        <w:t>机架式盘柜，混闪存储架构总容量不低于2</w:t>
      </w:r>
      <w:r>
        <w:t>0T</w:t>
      </w:r>
      <w:r>
        <w:rPr>
          <w:rFonts w:hint="eastAsia"/>
        </w:rPr>
        <w:t>的容量要求。★注： 由于第一批专用服务器</w:t>
      </w:r>
      <w:bookmarkStart w:id="132" w:name="_Hlk52865888"/>
      <w:r>
        <w:rPr>
          <w:rFonts w:hint="eastAsia"/>
        </w:rPr>
        <w:t>和存储柜</w:t>
      </w:r>
      <w:bookmarkEnd w:id="132"/>
      <w:r>
        <w:rPr>
          <w:rFonts w:hint="eastAsia"/>
        </w:rPr>
        <w:t>采购已选择华为专用服务器，为确保能顺利组建双活集群，本次</w:t>
      </w:r>
      <w:r>
        <w:rPr>
          <w:rFonts w:hint="eastAsia"/>
          <w:b/>
          <w:bCs/>
        </w:rPr>
        <w:t>专用服务器和存储柜</w:t>
      </w:r>
      <w:r>
        <w:rPr>
          <w:rFonts w:hint="eastAsia"/>
          <w:b/>
          <w:bCs/>
          <w:color w:val="FF0000"/>
        </w:rPr>
        <w:t>只能</w:t>
      </w:r>
      <w:r>
        <w:rPr>
          <w:rFonts w:hint="eastAsia"/>
          <w:b/>
          <w:bCs/>
        </w:rPr>
        <w:t>选择华为</w:t>
      </w:r>
      <w:r>
        <w:rPr>
          <w:rFonts w:hint="eastAsia"/>
        </w:rPr>
        <w:t>服务器和存储柜。 如果选择其它专用服务器和存储柜，视为弃标。</w:t>
      </w:r>
    </w:p>
    <w:p>
      <w:pPr>
        <w:numPr>
          <w:ilvl w:val="0"/>
          <w:numId w:val="48"/>
        </w:numPr>
        <w:spacing w:line="360" w:lineRule="auto"/>
        <w:outlineLvl w:val="3"/>
        <w:rPr>
          <w:rFonts w:ascii="宋体" w:hAnsi="宋体"/>
          <w:b/>
          <w:bCs/>
          <w:szCs w:val="21"/>
        </w:rPr>
      </w:pPr>
      <w:r>
        <w:rPr>
          <w:rFonts w:hint="eastAsia" w:ascii="宋体" w:hAnsi="宋体"/>
          <w:b/>
          <w:bCs/>
          <w:szCs w:val="21"/>
        </w:rPr>
        <w:t>备份资源需求</w:t>
      </w:r>
    </w:p>
    <w:p>
      <w:pPr>
        <w:pStyle w:val="2"/>
        <w:spacing w:after="156" w:afterLines="50" w:line="360" w:lineRule="auto"/>
        <w:ind w:firstLine="422" w:firstLineChars="201"/>
        <w:rPr>
          <w:rFonts w:hAnsi="宋体"/>
          <w:szCs w:val="21"/>
        </w:rPr>
      </w:pPr>
      <w:r>
        <w:rPr>
          <w:rFonts w:hint="eastAsia"/>
        </w:rPr>
        <w:t>备份系统需80T可用存储空间（包含硬件资源和软件授权），或按源端授权许可</w:t>
      </w:r>
      <w:r>
        <w:rPr>
          <w:rFonts w:hint="eastAsia"/>
        </w:rPr>
        <w:tab/>
      </w:r>
      <w:r>
        <w:rPr>
          <w:rFonts w:hint="eastAsia"/>
        </w:rPr>
        <w:t>20个客户端LAN和SAN备份、</w:t>
      </w:r>
      <w:r>
        <w:rPr>
          <w:rFonts w:hint="eastAsia"/>
        </w:rPr>
        <w:tab/>
      </w:r>
      <w:r>
        <w:rPr>
          <w:rFonts w:hint="eastAsia"/>
        </w:rPr>
        <w:t>30个虚拟机备份许可（不限宿主机和CPU数量）。支持多中心部署。主要备份数据库、文件资料、关键虚机。</w:t>
      </w:r>
    </w:p>
    <w:p>
      <w:pPr>
        <w:pStyle w:val="7"/>
        <w:spacing w:line="360" w:lineRule="auto"/>
        <w:jc w:val="left"/>
        <w:rPr>
          <w:rFonts w:ascii="宋体" w:hAnsi="宋体"/>
          <w:color w:val="000000" w:themeColor="text1"/>
          <w:szCs w:val="21"/>
          <w14:textFill>
            <w14:solidFill>
              <w14:schemeClr w14:val="tx1"/>
            </w14:solidFill>
          </w14:textFill>
        </w:rPr>
      </w:pPr>
    </w:p>
    <w:p>
      <w:pPr>
        <w:pStyle w:val="4"/>
        <w:keepNext w:val="0"/>
        <w:keepLines w:val="0"/>
        <w:numPr>
          <w:ilvl w:val="0"/>
          <w:numId w:val="47"/>
        </w:numPr>
        <w:spacing w:line="360" w:lineRule="auto"/>
        <w:jc w:val="center"/>
        <w:rPr>
          <w:rFonts w:eastAsia="宋体"/>
          <w:sz w:val="30"/>
          <w:szCs w:val="30"/>
        </w:rPr>
      </w:pPr>
      <w:r>
        <w:rPr>
          <w:rFonts w:hint="eastAsia"/>
          <w:color w:val="000000" w:themeColor="text1"/>
          <w:szCs w:val="21"/>
          <w14:textFill>
            <w14:solidFill>
              <w14:schemeClr w14:val="tx1"/>
            </w14:solidFill>
          </w14:textFill>
        </w:rPr>
        <w:br w:type="page"/>
      </w:r>
      <w:bookmarkStart w:id="133" w:name="_Toc52888959"/>
      <w:bookmarkStart w:id="134" w:name="_Toc28358439"/>
      <w:r>
        <w:rPr>
          <w:rFonts w:hint="eastAsia" w:eastAsia="宋体"/>
          <w:sz w:val="30"/>
          <w:szCs w:val="30"/>
        </w:rPr>
        <w:t>设备基本技术参数</w:t>
      </w:r>
      <w:bookmarkEnd w:id="133"/>
      <w:bookmarkEnd w:id="134"/>
    </w:p>
    <w:p>
      <w:pPr>
        <w:spacing w:line="360" w:lineRule="auto"/>
        <w:rPr>
          <w:rFonts w:ascii="宋体" w:hAnsi="宋体" w:cs="宋体"/>
        </w:rPr>
      </w:pPr>
      <w:r>
        <w:rPr>
          <w:rFonts w:hint="eastAsia" w:ascii="宋体" w:hAnsi="宋体" w:cs="宋体"/>
          <w:b/>
          <w:bCs/>
        </w:rPr>
        <w:t>说明：</w:t>
      </w:r>
    </w:p>
    <w:p>
      <w:pPr>
        <w:spacing w:line="360" w:lineRule="auto"/>
        <w:rPr>
          <w:rFonts w:ascii="宋体" w:hAnsi="宋体" w:cs="宋体"/>
        </w:rPr>
      </w:pPr>
      <w:r>
        <w:rPr>
          <w:rFonts w:hint="eastAsia" w:ascii="宋体" w:hAnsi="宋体" w:cs="宋体"/>
        </w:rPr>
        <w:t>（1） 供应商必须对本项目的所有设备进行报价。</w:t>
      </w:r>
    </w:p>
    <w:p>
      <w:pPr>
        <w:spacing w:line="360" w:lineRule="auto"/>
        <w:rPr>
          <w:rFonts w:ascii="宋体" w:hAnsi="宋体" w:cs="宋体"/>
        </w:rPr>
      </w:pPr>
      <w:r>
        <w:rPr>
          <w:rFonts w:hint="eastAsia" w:ascii="宋体" w:hAnsi="宋体" w:cs="宋体"/>
        </w:rPr>
        <w:t xml:space="preserve">（2） </w:t>
      </w:r>
      <w:r>
        <w:rPr>
          <w:rFonts w:hint="eastAsia" w:ascii="宋体" w:hAnsi="宋体" w:cs="宋体"/>
          <w:b/>
        </w:rPr>
        <w:t>本项目技术要求中带“★”的参数必须满足，未响应或不满足将导致废标，带“▲”的为加分项，满足加分，不满足不扣分。</w:t>
      </w:r>
    </w:p>
    <w:p>
      <w:pPr>
        <w:spacing w:line="360" w:lineRule="auto"/>
        <w:rPr>
          <w:rFonts w:ascii="宋体" w:hAnsi="宋体" w:cs="宋体"/>
        </w:rPr>
      </w:pPr>
      <w:r>
        <w:rPr>
          <w:rFonts w:hint="eastAsia" w:ascii="宋体" w:hAnsi="宋体" w:cs="宋体"/>
        </w:rPr>
        <w:t>（3）以下所列的技术参数和技术要求为货物的最基本要求，只作为投标人报价的参考，并无指定。投标人可根据设备的实际情况，选用技术参数优于或等于的产品进行投标，并列明详细的技术参数、品牌、型号及产地等。</w:t>
      </w:r>
    </w:p>
    <w:p>
      <w:pPr>
        <w:pStyle w:val="17"/>
        <w:numPr>
          <w:ilvl w:val="1"/>
          <w:numId w:val="49"/>
        </w:numPr>
        <w:tabs>
          <w:tab w:val="left" w:pos="0"/>
          <w:tab w:val="clear" w:pos="420"/>
        </w:tabs>
        <w:ind w:left="-2" w:leftChars="-1"/>
        <w:outlineLvl w:val="2"/>
        <w:rPr>
          <w:rFonts w:ascii="Arial" w:hAnsi="Arial" w:eastAsia="仿宋体" w:cs="Arial"/>
          <w:sz w:val="24"/>
        </w:rPr>
      </w:pPr>
      <w:bookmarkStart w:id="135" w:name="_Toc52888960"/>
      <w:r>
        <w:rPr>
          <w:rFonts w:hint="eastAsia" w:ascii="Arial" w:hAnsi="Arial" w:eastAsia="仿宋体" w:cs="Arial"/>
          <w:sz w:val="24"/>
        </w:rPr>
        <w:t>虚拟化服务器-计算节点（</w:t>
      </w:r>
      <w:r>
        <w:rPr>
          <w:rFonts w:ascii="Arial" w:hAnsi="Arial" w:eastAsia="仿宋体" w:cs="Arial"/>
          <w:sz w:val="24"/>
        </w:rPr>
        <w:t>8</w:t>
      </w:r>
      <w:r>
        <w:rPr>
          <w:rFonts w:hint="eastAsia" w:ascii="Arial" w:hAnsi="Arial" w:eastAsia="仿宋体" w:cs="Arial"/>
          <w:sz w:val="24"/>
        </w:rPr>
        <w:t>台）</w:t>
      </w:r>
      <w:bookmarkEnd w:id="135"/>
    </w:p>
    <w:tbl>
      <w:tblPr>
        <w:tblStyle w:val="2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6"/>
        <w:gridCol w:w="6096"/>
        <w:gridCol w:w="1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blHeader/>
        </w:trPr>
        <w:tc>
          <w:tcPr>
            <w:tcW w:w="1346" w:type="dxa"/>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指标名称</w:t>
            </w:r>
          </w:p>
        </w:tc>
        <w:tc>
          <w:tcPr>
            <w:tcW w:w="6096" w:type="dxa"/>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488" w:type="dxa"/>
            <w:shd w:val="clear" w:color="000000" w:fill="CCFFFF"/>
            <w:vAlign w:val="center"/>
          </w:tcPr>
          <w:p>
            <w:pPr>
              <w:widowControl/>
              <w:jc w:val="center"/>
              <w:rPr>
                <w:rFonts w:ascii="宋体" w:hAnsi="宋体" w:cs="宋体"/>
                <w:b/>
                <w:bCs/>
                <w:color w:val="000000"/>
                <w:kern w:val="0"/>
                <w:szCs w:val="21"/>
              </w:rPr>
            </w:pPr>
            <w:r>
              <w:rPr>
                <w:rFonts w:hint="eastAsia" w:ascii="宋体" w:hAnsi="宋体"/>
                <w:b/>
                <w:bCs/>
                <w:szCs w:val="21"/>
              </w:rPr>
              <w:t>投标方响应情况说明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4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设备类型</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2U机架式服务器</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★CPU</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配置≥2颗至强二代可扩展处理器；主频≥2.1G HZ，</w:t>
            </w:r>
            <w:r>
              <w:rPr>
                <w:rFonts w:hint="eastAsia" w:ascii="等线" w:hAnsi="等线" w:eastAsia="等线" w:cs="宋体"/>
                <w:kern w:val="0"/>
                <w:szCs w:val="21"/>
              </w:rPr>
              <w:t>每cpu≥ 18物理核。</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4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★内存</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配置≥512GB 2933MHz DDR4内存，单根内存≥</w:t>
            </w:r>
            <w:r>
              <w:rPr>
                <w:rFonts w:ascii="等线" w:hAnsi="等线" w:eastAsia="等线" w:cs="宋体"/>
                <w:color w:val="000000"/>
                <w:kern w:val="0"/>
                <w:szCs w:val="21"/>
              </w:rPr>
              <w:t>32GB</w:t>
            </w:r>
            <w:r>
              <w:rPr>
                <w:rFonts w:hint="eastAsia" w:ascii="等线" w:hAnsi="等线" w:eastAsia="等线" w:cs="宋体"/>
                <w:color w:val="000000"/>
                <w:kern w:val="0"/>
                <w:szCs w:val="21"/>
              </w:rPr>
              <w:t>，支持≥24根DDR4内存，支持RDIMM或LRDIMM。</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46" w:type="dxa"/>
            <w:vMerge w:val="restart"/>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存储</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配置≥2块</w:t>
            </w:r>
            <w:r>
              <w:rPr>
                <w:rFonts w:ascii="等线" w:hAnsi="等线" w:eastAsia="等线" w:cs="宋体"/>
                <w:color w:val="000000"/>
                <w:kern w:val="0"/>
                <w:szCs w:val="21"/>
              </w:rPr>
              <w:t>800</w:t>
            </w:r>
            <w:r>
              <w:rPr>
                <w:rFonts w:hint="eastAsia" w:ascii="等线" w:hAnsi="等线" w:eastAsia="等线" w:cs="宋体"/>
                <w:color w:val="000000"/>
                <w:kern w:val="0"/>
                <w:szCs w:val="21"/>
              </w:rPr>
              <w:t>G</w:t>
            </w:r>
            <w:r>
              <w:rPr>
                <w:rFonts w:ascii="等线" w:hAnsi="等线" w:eastAsia="等线" w:cs="宋体"/>
                <w:color w:val="000000"/>
                <w:kern w:val="0"/>
                <w:szCs w:val="21"/>
              </w:rPr>
              <w:t xml:space="preserve"> SSD</w:t>
            </w:r>
            <w:r>
              <w:rPr>
                <w:rFonts w:hint="eastAsia" w:ascii="等线" w:hAnsi="等线" w:eastAsia="等线" w:cs="宋体"/>
                <w:color w:val="000000"/>
                <w:kern w:val="0"/>
                <w:szCs w:val="21"/>
              </w:rPr>
              <w:t xml:space="preserve"> SAS硬盘，用于系统盘</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346" w:type="dxa"/>
            <w:vMerge w:val="continue"/>
            <w:shd w:val="clear" w:color="auto" w:fill="auto"/>
            <w:vAlign w:val="center"/>
          </w:tcPr>
          <w:p>
            <w:pPr>
              <w:widowControl/>
              <w:rPr>
                <w:rFonts w:ascii="等线" w:hAnsi="等线" w:eastAsia="等线" w:cs="宋体"/>
                <w:color w:val="000000"/>
                <w:kern w:val="0"/>
                <w:szCs w:val="21"/>
              </w:rPr>
            </w:pPr>
          </w:p>
        </w:tc>
        <w:tc>
          <w:tcPr>
            <w:tcW w:w="6096" w:type="dxa"/>
            <w:shd w:val="clear" w:color="auto" w:fill="auto"/>
            <w:vAlign w:val="center"/>
          </w:tcPr>
          <w:p>
            <w:pPr>
              <w:rPr>
                <w:szCs w:val="21"/>
              </w:rPr>
            </w:pPr>
            <w:r>
              <w:rPr>
                <w:rFonts w:hint="eastAsia"/>
                <w:szCs w:val="21"/>
              </w:rPr>
              <w:t>配置≥8个2.5寸热插拔硬盘槽位，可扩展至≥16个2.5寸热插拔硬盘</w:t>
            </w:r>
            <w:r>
              <w:rPr>
                <w:szCs w:val="21"/>
              </w:rPr>
              <w:t>SAS/SATA</w:t>
            </w:r>
            <w:r>
              <w:rPr>
                <w:rFonts w:hint="eastAsia"/>
                <w:szCs w:val="21"/>
              </w:rPr>
              <w:t>槽位，可配置≥4个NVMe SSD盘，且全部硬盘可在不打开主机箱盖的情况下热插拔维护。支持双M.2 SSD</w:t>
            </w:r>
          </w:p>
        </w:tc>
        <w:tc>
          <w:tcPr>
            <w:tcW w:w="1488" w:type="dxa"/>
            <w:shd w:val="clear" w:color="auto" w:fill="auto"/>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1346" w:type="dxa"/>
            <w:shd w:val="clear" w:color="auto" w:fill="auto"/>
            <w:vAlign w:val="center"/>
          </w:tcPr>
          <w:p>
            <w:pPr>
              <w:rPr>
                <w:rFonts w:ascii="等线" w:hAnsi="等线" w:eastAsia="等线" w:cs="宋体"/>
                <w:color w:val="000000"/>
                <w:kern w:val="0"/>
                <w:szCs w:val="21"/>
              </w:rPr>
            </w:pPr>
            <w:r>
              <w:rPr>
                <w:rFonts w:hint="eastAsia" w:ascii="等线" w:hAnsi="等线" w:eastAsia="等线" w:cs="宋体"/>
                <w:color w:val="000000"/>
                <w:kern w:val="0"/>
                <w:szCs w:val="21"/>
              </w:rPr>
              <w:t>★阵列卡</w:t>
            </w:r>
          </w:p>
        </w:tc>
        <w:tc>
          <w:tcPr>
            <w:tcW w:w="6096" w:type="dxa"/>
            <w:shd w:val="clear" w:color="auto" w:fill="auto"/>
            <w:vAlign w:val="center"/>
          </w:tcPr>
          <w:p>
            <w:pPr>
              <w:rPr>
                <w:szCs w:val="21"/>
              </w:rPr>
            </w:pPr>
            <w:r>
              <w:rPr>
                <w:szCs w:val="21"/>
              </w:rPr>
              <w:t>RAID</w:t>
            </w:r>
            <w:r>
              <w:rPr>
                <w:rFonts w:hint="eastAsia"/>
                <w:szCs w:val="21"/>
              </w:rPr>
              <w:t>阵列卡要求直通功能，满足V</w:t>
            </w:r>
            <w:r>
              <w:rPr>
                <w:szCs w:val="21"/>
              </w:rPr>
              <w:t>MWARE,OPENSTACK</w:t>
            </w:r>
            <w:r>
              <w:rPr>
                <w:rFonts w:hint="eastAsia"/>
                <w:szCs w:val="21"/>
              </w:rPr>
              <w:t>兼容性要求</w:t>
            </w:r>
            <w:r>
              <w:rPr>
                <w:szCs w:val="21"/>
              </w:rPr>
              <w:t>.</w:t>
            </w:r>
          </w:p>
        </w:tc>
        <w:tc>
          <w:tcPr>
            <w:tcW w:w="1488" w:type="dxa"/>
            <w:shd w:val="clear" w:color="auto" w:fill="auto"/>
            <w:vAlign w:val="center"/>
          </w:tcPr>
          <w:p>
            <w:pPr>
              <w:widowControl/>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hint="eastAsia" w:ascii="等线" w:hAnsi="等线" w:eastAsia="等线" w:cs="宋体"/>
                <w:color w:val="000000"/>
                <w:kern w:val="0"/>
                <w:szCs w:val="21"/>
              </w:rPr>
              <w:t>网卡</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等线" w:hAnsi="等线" w:eastAsia="等线" w:cs="宋体"/>
                <w:color w:val="000000"/>
                <w:kern w:val="0"/>
                <w:szCs w:val="21"/>
              </w:rPr>
              <w:t>配置≥2*1GE千兆网口，≥</w:t>
            </w:r>
            <w:r>
              <w:rPr>
                <w:rFonts w:ascii="等线" w:hAnsi="等线" w:eastAsia="等线" w:cs="宋体"/>
                <w:color w:val="000000"/>
                <w:kern w:val="0"/>
                <w:szCs w:val="21"/>
              </w:rPr>
              <w:t>4</w:t>
            </w:r>
            <w:r>
              <w:rPr>
                <w:rFonts w:hint="eastAsia" w:ascii="等线" w:hAnsi="等线" w:eastAsia="等线" w:cs="宋体"/>
                <w:color w:val="000000"/>
                <w:kern w:val="0"/>
                <w:szCs w:val="21"/>
              </w:rPr>
              <w:t>*10GE万兆网口(含万兆多模光模块)，要求支持</w:t>
            </w:r>
            <w:r>
              <w:rPr>
                <w:rFonts w:ascii="等线" w:hAnsi="等线" w:eastAsia="等线" w:cs="宋体"/>
                <w:color w:val="000000"/>
                <w:kern w:val="0"/>
                <w:szCs w:val="21"/>
              </w:rPr>
              <w:t>RoCE v2</w:t>
            </w:r>
            <w:r>
              <w:rPr>
                <w:rFonts w:hint="eastAsia" w:ascii="等线" w:hAnsi="等线" w:eastAsia="等线" w:cs="宋体"/>
                <w:color w:val="000000"/>
                <w:kern w:val="0"/>
                <w:szCs w:val="21"/>
              </w:rPr>
              <w:t>协议</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6" w:type="dxa"/>
            <w:shd w:val="clear" w:color="auto" w:fill="auto"/>
            <w:vAlign w:val="center"/>
          </w:tcPr>
          <w:p>
            <w:pPr>
              <w:widowControl/>
              <w:rPr>
                <w:rFonts w:ascii="宋体" w:hAnsi="宋体" w:cs="宋体"/>
                <w:color w:val="000000"/>
                <w:kern w:val="0"/>
                <w:szCs w:val="21"/>
              </w:rPr>
            </w:pPr>
            <w:r>
              <w:rPr>
                <w:rFonts w:hint="eastAsia"/>
                <w:szCs w:val="21"/>
              </w:rPr>
              <w:t xml:space="preserve"> I/O插槽</w:t>
            </w:r>
          </w:p>
        </w:tc>
        <w:tc>
          <w:tcPr>
            <w:tcW w:w="6096" w:type="dxa"/>
            <w:shd w:val="clear" w:color="auto" w:fill="auto"/>
            <w:vAlign w:val="center"/>
          </w:tcPr>
          <w:p>
            <w:pPr>
              <w:widowControl/>
              <w:rPr>
                <w:szCs w:val="21"/>
              </w:rPr>
            </w:pPr>
            <w:r>
              <w:rPr>
                <w:rFonts w:hint="eastAsia"/>
                <w:szCs w:val="21"/>
              </w:rPr>
              <w:t>最多提供≥8个标准PCIE3.0插槽。</w:t>
            </w:r>
          </w:p>
          <w:p>
            <w:pPr>
              <w:pStyle w:val="2"/>
              <w:ind w:left="0"/>
              <w:rPr>
                <w:szCs w:val="21"/>
              </w:rPr>
            </w:pPr>
            <w:r>
              <w:rPr>
                <w:rFonts w:hint="eastAsia"/>
                <w:szCs w:val="21"/>
              </w:rPr>
              <w:t>支持8个半高半长GPU卡或者2个全宽全长的GPU卡。</w:t>
            </w:r>
          </w:p>
        </w:tc>
        <w:tc>
          <w:tcPr>
            <w:tcW w:w="1488" w:type="dxa"/>
            <w:shd w:val="clear" w:color="auto" w:fill="auto"/>
            <w:vAlign w:val="center"/>
          </w:tcPr>
          <w:p>
            <w:pPr>
              <w:widowControl/>
              <w:jc w:val="left"/>
              <w:rPr>
                <w:rFonts w:ascii="宋体" w:cs="宋体"/>
                <w:szCs w:val="21"/>
              </w:rPr>
            </w:pPr>
          </w:p>
          <w:p>
            <w:pPr>
              <w:pStyle w:val="2"/>
              <w:ind w:left="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6" w:type="dxa"/>
            <w:shd w:val="clear" w:color="auto" w:fill="auto"/>
            <w:vAlign w:val="center"/>
          </w:tcPr>
          <w:p>
            <w:pPr>
              <w:widowControl/>
              <w:rPr>
                <w:szCs w:val="21"/>
              </w:rPr>
            </w:pPr>
            <w:bookmarkStart w:id="136" w:name="_Hlk46916359"/>
            <w:r>
              <w:rPr>
                <w:rFonts w:hint="eastAsia"/>
                <w:szCs w:val="21"/>
              </w:rPr>
              <w:t>电源与风扇</w:t>
            </w:r>
          </w:p>
        </w:tc>
        <w:tc>
          <w:tcPr>
            <w:tcW w:w="6096" w:type="dxa"/>
            <w:shd w:val="clear" w:color="auto" w:fill="auto"/>
            <w:vAlign w:val="center"/>
          </w:tcPr>
          <w:p>
            <w:pPr>
              <w:widowControl/>
              <w:rPr>
                <w:szCs w:val="21"/>
              </w:rPr>
            </w:pPr>
            <w:r>
              <w:rPr>
                <w:rFonts w:hint="eastAsia"/>
                <w:szCs w:val="21"/>
              </w:rPr>
              <w:t>2个≥750w白金版热插拔冗余电源；4个热拔插风扇，支持N+1冗余。</w:t>
            </w:r>
          </w:p>
        </w:tc>
        <w:tc>
          <w:tcPr>
            <w:tcW w:w="1488" w:type="dxa"/>
            <w:shd w:val="clear" w:color="auto" w:fill="auto"/>
            <w:vAlign w:val="center"/>
          </w:tcPr>
          <w:p>
            <w:pPr>
              <w:widowControl/>
              <w:rPr>
                <w:szCs w:val="21"/>
              </w:rPr>
            </w:pPr>
          </w:p>
        </w:tc>
      </w:tr>
      <w:bookmarkEnd w:id="1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346" w:type="dxa"/>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管理特性</w:t>
            </w:r>
          </w:p>
        </w:tc>
        <w:tc>
          <w:tcPr>
            <w:tcW w:w="6096" w:type="dxa"/>
            <w:shd w:val="clear" w:color="auto" w:fill="auto"/>
            <w:vAlign w:val="center"/>
          </w:tcPr>
          <w:p>
            <w:pPr>
              <w:pStyle w:val="2"/>
              <w:ind w:left="0"/>
              <w:rPr>
                <w:szCs w:val="21"/>
              </w:rPr>
            </w:pPr>
            <w:r>
              <w:rPr>
                <w:rFonts w:hint="eastAsia"/>
                <w:szCs w:val="21"/>
              </w:rPr>
              <w:t>配置≥1Gb专用管理网口，提供全面的故障诊断、自动化运维、硬件安全加固等管理特性；</w:t>
            </w:r>
          </w:p>
          <w:p>
            <w:pPr>
              <w:pStyle w:val="2"/>
              <w:rPr>
                <w:szCs w:val="21"/>
              </w:rPr>
            </w:pPr>
            <w:r>
              <w:rPr>
                <w:szCs w:val="21"/>
              </w:rPr>
              <w:t>BMC</w:t>
            </w:r>
            <w:r>
              <w:rPr>
                <w:rFonts w:hint="eastAsia"/>
                <w:szCs w:val="21"/>
              </w:rPr>
              <w:t>支持</w:t>
            </w:r>
            <w:r>
              <w:rPr>
                <w:szCs w:val="21"/>
              </w:rPr>
              <w:t>SNMP</w:t>
            </w:r>
            <w:r>
              <w:rPr>
                <w:rFonts w:hint="eastAsia"/>
                <w:szCs w:val="21"/>
              </w:rPr>
              <w:t>、</w:t>
            </w:r>
            <w:r>
              <w:rPr>
                <w:szCs w:val="21"/>
              </w:rPr>
              <w:t>IPMI2.0</w:t>
            </w:r>
            <w:r>
              <w:rPr>
                <w:rFonts w:hint="eastAsia"/>
                <w:szCs w:val="21"/>
              </w:rPr>
              <w:t>等标准接口；提供基于</w:t>
            </w:r>
            <w:r>
              <w:rPr>
                <w:szCs w:val="21"/>
              </w:rPr>
              <w:t>HTML5/VNC KVM</w:t>
            </w:r>
            <w:r>
              <w:rPr>
                <w:rFonts w:hint="eastAsia"/>
                <w:szCs w:val="21"/>
              </w:rPr>
              <w:t>的远程管理界面；支持免</w:t>
            </w:r>
            <w:r>
              <w:rPr>
                <w:szCs w:val="21"/>
              </w:rPr>
              <w:t>CD</w:t>
            </w:r>
            <w:r>
              <w:rPr>
                <w:rFonts w:hint="eastAsia"/>
                <w:szCs w:val="21"/>
              </w:rPr>
              <w:t>部署和</w:t>
            </w:r>
            <w:r>
              <w:rPr>
                <w:szCs w:val="21"/>
              </w:rPr>
              <w:t>Agentless</w:t>
            </w:r>
            <w:r>
              <w:rPr>
                <w:rFonts w:hint="eastAsia"/>
                <w:szCs w:val="21"/>
              </w:rPr>
              <w:t>特性简化管理复杂度。</w:t>
            </w:r>
          </w:p>
        </w:tc>
        <w:tc>
          <w:tcPr>
            <w:tcW w:w="1488" w:type="dxa"/>
            <w:shd w:val="clear" w:color="auto" w:fill="auto"/>
            <w:vAlign w:val="center"/>
          </w:tcPr>
          <w:p>
            <w:pPr>
              <w:pStyle w:val="2"/>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346" w:type="dxa"/>
            <w:vMerge w:val="restart"/>
            <w:shd w:val="clear" w:color="auto" w:fill="auto"/>
            <w:vAlign w:val="center"/>
          </w:tcPr>
          <w:p>
            <w:pPr>
              <w:rPr>
                <w:rFonts w:ascii="宋体" w:hAnsi="宋体" w:cs="宋体"/>
                <w:color w:val="000000"/>
                <w:kern w:val="0"/>
                <w:szCs w:val="21"/>
              </w:rPr>
            </w:pPr>
            <w:r>
              <w:rPr>
                <w:rFonts w:hint="eastAsia" w:ascii="宋体" w:hAnsi="宋体" w:cs="宋体"/>
                <w:color w:val="000000"/>
                <w:kern w:val="0"/>
                <w:szCs w:val="21"/>
              </w:rPr>
              <w:t>产品资质</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宋体" w:hAnsi="宋体" w:cs="宋体"/>
                <w:color w:val="000000"/>
                <w:kern w:val="0"/>
                <w:szCs w:val="21"/>
              </w:rPr>
              <w:t>为保障硬件可靠性，相关产品需通过国家3C认证，提供ISO 9001质量认证、提供环境管理体系ISO 14001认证、服务器节能认证等证书及相关产品的原厂授权函</w:t>
            </w:r>
            <w:r>
              <w:rPr>
                <w:rFonts w:hint="eastAsia" w:ascii="宋体" w:hAnsi="宋体" w:cs="宋体"/>
                <w:kern w:val="0"/>
                <w:szCs w:val="21"/>
              </w:rPr>
              <w:t>。</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46" w:type="dxa"/>
            <w:vMerge w:val="continue"/>
            <w:shd w:val="clear" w:color="auto" w:fill="auto"/>
            <w:vAlign w:val="center"/>
          </w:tcPr>
          <w:p>
            <w:pPr>
              <w:rPr>
                <w:rFonts w:ascii="宋体" w:hAnsi="宋体" w:cs="宋体"/>
                <w:color w:val="000000"/>
                <w:kern w:val="0"/>
                <w:szCs w:val="21"/>
              </w:rPr>
            </w:pPr>
          </w:p>
        </w:tc>
        <w:tc>
          <w:tcPr>
            <w:tcW w:w="6096" w:type="dxa"/>
            <w:shd w:val="clear" w:color="auto" w:fill="auto"/>
            <w:vAlign w:val="center"/>
          </w:tcPr>
          <w:p>
            <w:pPr>
              <w:widowControl/>
              <w:rPr>
                <w:rFonts w:ascii="等线" w:hAnsi="等线" w:eastAsia="等线" w:cs="宋体"/>
                <w:color w:val="000000"/>
                <w:kern w:val="0"/>
                <w:szCs w:val="21"/>
              </w:rPr>
            </w:pPr>
            <w:r>
              <w:rPr>
                <w:rFonts w:hint="eastAsia" w:ascii="宋体" w:hAnsi="宋体" w:cs="宋体"/>
                <w:kern w:val="0"/>
                <w:szCs w:val="21"/>
              </w:rPr>
              <w:t>所投标机型在官方网站中文资料齐全，包含中文版（产品彩页、规格白皮书、兼容性列表、用户指南、安装升级指南等）</w:t>
            </w:r>
          </w:p>
        </w:tc>
        <w:tc>
          <w:tcPr>
            <w:tcW w:w="1488" w:type="dxa"/>
            <w:shd w:val="clear" w:color="auto" w:fill="auto"/>
            <w:vAlign w:val="center"/>
          </w:tcPr>
          <w:p>
            <w:pPr>
              <w:widowControl/>
              <w:rPr>
                <w:rFonts w:ascii="等线" w:hAnsi="等线" w:eastAsia="等线"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46" w:type="dxa"/>
            <w:vMerge w:val="continue"/>
            <w:shd w:val="clear" w:color="auto" w:fill="auto"/>
            <w:vAlign w:val="center"/>
          </w:tcPr>
          <w:p>
            <w:pPr>
              <w:widowControl/>
              <w:rPr>
                <w:rFonts w:ascii="宋体" w:hAnsi="宋体" w:cs="宋体"/>
                <w:color w:val="000000"/>
                <w:kern w:val="0"/>
                <w:szCs w:val="21"/>
              </w:rPr>
            </w:pPr>
          </w:p>
        </w:tc>
        <w:tc>
          <w:tcPr>
            <w:tcW w:w="6096" w:type="dxa"/>
            <w:shd w:val="clear" w:color="auto" w:fill="auto"/>
            <w:vAlign w:val="center"/>
          </w:tcPr>
          <w:p>
            <w:pPr>
              <w:widowControl/>
              <w:rPr>
                <w:rFonts w:ascii="宋体" w:hAnsi="宋体" w:cs="宋体"/>
                <w:kern w:val="0"/>
                <w:szCs w:val="21"/>
              </w:rPr>
            </w:pPr>
            <w:r>
              <w:rPr>
                <w:rFonts w:hint="eastAsia" w:ascii="等线" w:hAnsi="等线" w:eastAsia="等线" w:cs="宋体"/>
                <w:color w:val="000000"/>
                <w:kern w:val="0"/>
                <w:szCs w:val="21"/>
              </w:rPr>
              <w:t>★</w:t>
            </w:r>
            <w:r>
              <w:rPr>
                <w:rFonts w:hint="eastAsia" w:ascii="宋体" w:hAnsi="宋体" w:cs="宋体"/>
                <w:kern w:val="0"/>
                <w:szCs w:val="21"/>
              </w:rPr>
              <w:t>所投标机型在VMware、阿里云、华为云、华三云、浪潮云、青云的至少五家的兼容机型列表中，提供证明加盖原厂公章。</w:t>
            </w:r>
          </w:p>
        </w:tc>
        <w:tc>
          <w:tcPr>
            <w:tcW w:w="1488" w:type="dxa"/>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46" w:type="dxa"/>
            <w:shd w:val="clear" w:color="auto" w:fill="auto"/>
            <w:vAlign w:val="center"/>
          </w:tcPr>
          <w:p>
            <w:pPr>
              <w:widowControl/>
              <w:rPr>
                <w:rFonts w:ascii="宋体" w:hAnsi="宋体" w:cs="宋体"/>
                <w:color w:val="000000"/>
                <w:kern w:val="0"/>
                <w:szCs w:val="21"/>
              </w:rPr>
            </w:pPr>
            <w:r>
              <w:rPr>
                <w:rFonts w:hint="eastAsia" w:ascii="宋体" w:hAnsi="宋体"/>
                <w:szCs w:val="21"/>
              </w:rPr>
              <w:t>保修售后</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宋体" w:hAnsi="宋体"/>
                <w:szCs w:val="21"/>
              </w:rPr>
              <w:t>硬件原厂三年保修</w:t>
            </w:r>
            <w:r>
              <w:rPr>
                <w:rFonts w:ascii="宋体" w:hAnsi="宋体"/>
                <w:szCs w:val="21"/>
              </w:rPr>
              <w:t>（</w:t>
            </w:r>
            <w:r>
              <w:rPr>
                <w:rFonts w:hint="eastAsia" w:ascii="宋体" w:hAnsi="宋体"/>
                <w:szCs w:val="21"/>
              </w:rPr>
              <w:t>厂家授权函原件</w:t>
            </w:r>
            <w:r>
              <w:rPr>
                <w:rFonts w:ascii="宋体" w:hAnsi="宋体"/>
                <w:szCs w:val="21"/>
              </w:rPr>
              <w:t>）</w:t>
            </w:r>
          </w:p>
        </w:tc>
        <w:tc>
          <w:tcPr>
            <w:tcW w:w="1488" w:type="dxa"/>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46" w:type="dxa"/>
            <w:vMerge w:val="restart"/>
            <w:shd w:val="clear" w:color="auto" w:fill="auto"/>
            <w:vAlign w:val="center"/>
          </w:tcPr>
          <w:p>
            <w:pPr>
              <w:widowControl/>
              <w:rPr>
                <w:rFonts w:ascii="宋体" w:hAnsi="宋体"/>
                <w:szCs w:val="21"/>
              </w:rPr>
            </w:pPr>
            <w:r>
              <w:rPr>
                <w:rFonts w:hint="eastAsia" w:ascii="宋体" w:hAnsi="宋体"/>
                <w:szCs w:val="21"/>
              </w:rPr>
              <w:t>其它要求</w:t>
            </w:r>
          </w:p>
        </w:tc>
        <w:tc>
          <w:tcPr>
            <w:tcW w:w="6096" w:type="dxa"/>
            <w:shd w:val="clear" w:color="auto" w:fill="auto"/>
            <w:vAlign w:val="center"/>
          </w:tcPr>
          <w:p>
            <w:pPr>
              <w:widowControl/>
              <w:rPr>
                <w:rFonts w:ascii="等线" w:hAnsi="等线" w:eastAsia="等线" w:cs="宋体"/>
                <w:color w:val="000000"/>
                <w:kern w:val="0"/>
                <w:szCs w:val="21"/>
              </w:rPr>
            </w:pPr>
            <w:r>
              <w:rPr>
                <w:rFonts w:hint="eastAsia" w:ascii="宋体" w:hAnsi="宋体"/>
                <w:szCs w:val="21"/>
              </w:rPr>
              <w:t>标配导轨*1</w:t>
            </w:r>
          </w:p>
        </w:tc>
        <w:tc>
          <w:tcPr>
            <w:tcW w:w="1488" w:type="dxa"/>
            <w:shd w:val="clear" w:color="auto" w:fill="auto"/>
            <w:vAlign w:val="center"/>
          </w:tcPr>
          <w:p>
            <w:pPr>
              <w:widowControl/>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346" w:type="dxa"/>
            <w:vMerge w:val="continue"/>
            <w:shd w:val="clear" w:color="auto" w:fill="auto"/>
            <w:vAlign w:val="center"/>
          </w:tcPr>
          <w:p>
            <w:pPr>
              <w:widowControl/>
              <w:rPr>
                <w:rFonts w:ascii="宋体" w:hAnsi="宋体"/>
                <w:szCs w:val="21"/>
              </w:rPr>
            </w:pPr>
          </w:p>
        </w:tc>
        <w:tc>
          <w:tcPr>
            <w:tcW w:w="6096" w:type="dxa"/>
            <w:shd w:val="clear" w:color="auto" w:fill="auto"/>
            <w:vAlign w:val="center"/>
          </w:tcPr>
          <w:p>
            <w:pPr>
              <w:widowControl/>
              <w:rPr>
                <w:rFonts w:ascii="宋体" w:hAnsi="宋体"/>
                <w:szCs w:val="21"/>
              </w:rPr>
            </w:pPr>
            <w:r>
              <w:rPr>
                <w:rFonts w:hint="eastAsia" w:ascii="宋体" w:hAnsi="宋体"/>
                <w:szCs w:val="21"/>
              </w:rPr>
              <w:t>★注： 由于第一批服务器采购已选择华为服务器，为着确保私有云建设的硬件兼容性，本批</w:t>
            </w:r>
            <w:r>
              <w:rPr>
                <w:rFonts w:hint="eastAsia" w:ascii="宋体" w:hAnsi="宋体"/>
                <w:b/>
                <w:bCs/>
                <w:szCs w:val="21"/>
              </w:rPr>
              <w:t>云计算服务器</w:t>
            </w:r>
            <w:r>
              <w:rPr>
                <w:rFonts w:hint="eastAsia" w:ascii="宋体" w:hAnsi="宋体"/>
                <w:b/>
                <w:bCs/>
                <w:color w:val="FF0000"/>
                <w:szCs w:val="21"/>
              </w:rPr>
              <w:t>不能</w:t>
            </w:r>
            <w:r>
              <w:rPr>
                <w:rFonts w:hint="eastAsia" w:ascii="宋体" w:hAnsi="宋体"/>
                <w:b/>
                <w:bCs/>
                <w:szCs w:val="21"/>
              </w:rPr>
              <w:t>选择华为</w:t>
            </w:r>
            <w:r>
              <w:rPr>
                <w:rFonts w:hint="eastAsia" w:ascii="宋体" w:hAnsi="宋体"/>
                <w:szCs w:val="21"/>
              </w:rPr>
              <w:t>服务器。 如果选择华为服务器，视为弃标。</w:t>
            </w:r>
          </w:p>
        </w:tc>
        <w:tc>
          <w:tcPr>
            <w:tcW w:w="1488" w:type="dxa"/>
            <w:shd w:val="clear" w:color="auto" w:fill="auto"/>
            <w:vAlign w:val="center"/>
          </w:tcPr>
          <w:p>
            <w:pPr>
              <w:widowControl/>
              <w:rPr>
                <w:rFonts w:ascii="宋体" w:hAnsi="宋体" w:cs="宋体"/>
                <w:kern w:val="0"/>
                <w:szCs w:val="21"/>
              </w:rPr>
            </w:pPr>
          </w:p>
        </w:tc>
      </w:tr>
    </w:tbl>
    <w:p>
      <w:pPr>
        <w:pStyle w:val="2"/>
      </w:pPr>
    </w:p>
    <w:p>
      <w:pPr>
        <w:pStyle w:val="17"/>
        <w:numPr>
          <w:ilvl w:val="1"/>
          <w:numId w:val="49"/>
        </w:numPr>
        <w:tabs>
          <w:tab w:val="left" w:pos="0"/>
          <w:tab w:val="clear" w:pos="420"/>
        </w:tabs>
        <w:ind w:left="-2" w:leftChars="-1"/>
        <w:outlineLvl w:val="2"/>
        <w:rPr>
          <w:rFonts w:ascii="Arial" w:hAnsi="Arial" w:eastAsia="仿宋体" w:cs="Arial"/>
          <w:sz w:val="24"/>
        </w:rPr>
      </w:pPr>
      <w:bookmarkStart w:id="137" w:name="_Toc52888961"/>
      <w:r>
        <w:rPr>
          <w:rFonts w:hint="eastAsia" w:ascii="Arial" w:hAnsi="Arial" w:eastAsia="仿宋体" w:cs="Arial"/>
          <w:sz w:val="24"/>
        </w:rPr>
        <w:t>独立计算与存储设备需求（1套）</w:t>
      </w:r>
      <w:bookmarkEnd w:id="137"/>
    </w:p>
    <w:p>
      <w:pPr>
        <w:pStyle w:val="67"/>
        <w:spacing w:line="360" w:lineRule="auto"/>
        <w:jc w:val="left"/>
        <w:rPr>
          <w:rFonts w:ascii="宋体" w:hAnsi="宋体" w:cs="宋体"/>
          <w:b/>
          <w:bCs/>
          <w:sz w:val="24"/>
          <w:szCs w:val="24"/>
        </w:rPr>
      </w:pPr>
      <w:r>
        <w:rPr>
          <w:rFonts w:hint="eastAsia" w:ascii="宋体" w:hAnsi="宋体" w:cs="宋体"/>
          <w:b/>
          <w:bCs/>
          <w:sz w:val="24"/>
          <w:szCs w:val="24"/>
        </w:rPr>
        <w:t>1）计算（1台）</w:t>
      </w:r>
    </w:p>
    <w:tbl>
      <w:tblPr>
        <w:tblStyle w:val="21"/>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5811"/>
        <w:gridCol w:w="2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Align w:val="center"/>
          </w:tcPr>
          <w:p>
            <w:pPr>
              <w:spacing w:line="0" w:lineRule="atLeast"/>
              <w:jc w:val="center"/>
              <w:rPr>
                <w:rFonts w:ascii="宋体" w:hAnsi="宋体"/>
                <w:b/>
                <w:bCs/>
                <w:szCs w:val="21"/>
              </w:rPr>
            </w:pPr>
            <w:r>
              <w:rPr>
                <w:rFonts w:hint="eastAsia" w:ascii="宋体" w:hAnsi="宋体"/>
                <w:b/>
                <w:bCs/>
                <w:szCs w:val="21"/>
              </w:rPr>
              <w:t>指标项目</w:t>
            </w:r>
          </w:p>
        </w:tc>
        <w:tc>
          <w:tcPr>
            <w:tcW w:w="5811" w:type="dxa"/>
            <w:vAlign w:val="center"/>
          </w:tcPr>
          <w:p>
            <w:pPr>
              <w:spacing w:line="0" w:lineRule="atLeast"/>
              <w:jc w:val="center"/>
              <w:rPr>
                <w:rFonts w:ascii="宋体" w:hAnsi="宋体"/>
                <w:b/>
                <w:bCs/>
                <w:szCs w:val="21"/>
              </w:rPr>
            </w:pPr>
            <w:r>
              <w:rPr>
                <w:rFonts w:hint="eastAsia" w:ascii="宋体" w:hAnsi="宋体"/>
                <w:b/>
                <w:bCs/>
                <w:szCs w:val="21"/>
              </w:rPr>
              <w:t xml:space="preserve">技 </w:t>
            </w:r>
            <w:r>
              <w:rPr>
                <w:rFonts w:ascii="宋体" w:hAnsi="宋体"/>
                <w:b/>
                <w:bCs/>
                <w:szCs w:val="21"/>
              </w:rPr>
              <w:t xml:space="preserve"> </w:t>
            </w:r>
            <w:r>
              <w:rPr>
                <w:rFonts w:hint="eastAsia" w:ascii="宋体" w:hAnsi="宋体"/>
                <w:b/>
                <w:bCs/>
                <w:szCs w:val="21"/>
              </w:rPr>
              <w:t xml:space="preserve">术 </w:t>
            </w:r>
            <w:r>
              <w:rPr>
                <w:rFonts w:ascii="宋体" w:hAnsi="宋体"/>
                <w:b/>
                <w:bCs/>
                <w:szCs w:val="21"/>
              </w:rPr>
              <w:t xml:space="preserve"> </w:t>
            </w:r>
            <w:r>
              <w:rPr>
                <w:rFonts w:hint="eastAsia" w:ascii="宋体" w:hAnsi="宋体"/>
                <w:b/>
                <w:bCs/>
                <w:szCs w:val="21"/>
              </w:rPr>
              <w:t xml:space="preserve">要 </w:t>
            </w:r>
            <w:r>
              <w:rPr>
                <w:rFonts w:ascii="宋体" w:hAnsi="宋体"/>
                <w:b/>
                <w:bCs/>
                <w:szCs w:val="21"/>
              </w:rPr>
              <w:t xml:space="preserve"> </w:t>
            </w:r>
            <w:r>
              <w:rPr>
                <w:rFonts w:hint="eastAsia" w:ascii="宋体" w:hAnsi="宋体"/>
                <w:b/>
                <w:bCs/>
                <w:szCs w:val="21"/>
              </w:rPr>
              <w:t>求</w:t>
            </w:r>
          </w:p>
        </w:tc>
        <w:tc>
          <w:tcPr>
            <w:tcW w:w="2180" w:type="dxa"/>
            <w:vAlign w:val="center"/>
          </w:tcPr>
          <w:p>
            <w:pPr>
              <w:spacing w:line="0" w:lineRule="atLeast"/>
              <w:jc w:val="center"/>
              <w:rPr>
                <w:rFonts w:ascii="宋体" w:hAnsi="宋体"/>
                <w:b/>
                <w:bCs/>
                <w:szCs w:val="21"/>
              </w:rPr>
            </w:pPr>
            <w:r>
              <w:rPr>
                <w:rFonts w:hint="eastAsia" w:ascii="宋体" w:hAnsi="宋体"/>
                <w:b/>
                <w:bCs/>
                <w:szCs w:val="21"/>
              </w:rPr>
              <w:t>投标方响应情况说明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66" w:type="dxa"/>
            <w:vAlign w:val="center"/>
          </w:tcPr>
          <w:p>
            <w:pPr>
              <w:spacing w:line="0" w:lineRule="atLeast"/>
              <w:jc w:val="left"/>
              <w:rPr>
                <w:rFonts w:ascii="宋体" w:hAnsi="宋体"/>
                <w:szCs w:val="21"/>
              </w:rPr>
            </w:pPr>
            <w:bookmarkStart w:id="138" w:name="OLE_LINK3"/>
            <w:r>
              <w:rPr>
                <w:rFonts w:hint="eastAsia" w:ascii="宋体" w:hAnsi="宋体"/>
                <w:szCs w:val="21"/>
              </w:rPr>
              <w:t>机箱</w:t>
            </w:r>
            <w:bookmarkEnd w:id="138"/>
          </w:p>
        </w:tc>
        <w:tc>
          <w:tcPr>
            <w:tcW w:w="5811" w:type="dxa"/>
            <w:vAlign w:val="center"/>
          </w:tcPr>
          <w:p>
            <w:pPr>
              <w:spacing w:line="0" w:lineRule="atLeast"/>
              <w:jc w:val="left"/>
              <w:rPr>
                <w:rFonts w:ascii="宋体" w:hAnsi="宋体"/>
                <w:szCs w:val="21"/>
              </w:rPr>
            </w:pPr>
            <w:bookmarkStart w:id="139" w:name="OLE_LINK4"/>
            <w:r>
              <w:rPr>
                <w:rFonts w:hint="eastAsia" w:ascii="宋体" w:hAnsi="宋体"/>
                <w:szCs w:val="21"/>
              </w:rPr>
              <w:t>标准4U服务器，可支持导轨及理线架</w:t>
            </w:r>
            <w:bookmarkEnd w:id="139"/>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restart"/>
            <w:vAlign w:val="center"/>
          </w:tcPr>
          <w:p>
            <w:pPr>
              <w:spacing w:line="0" w:lineRule="atLeast"/>
              <w:jc w:val="left"/>
              <w:rPr>
                <w:rFonts w:ascii="宋体" w:hAnsi="宋体"/>
                <w:szCs w:val="21"/>
              </w:rPr>
            </w:pPr>
            <w:bookmarkStart w:id="140" w:name="OLE_LINK5"/>
            <w:r>
              <w:rPr>
                <w:rFonts w:hint="eastAsia" w:ascii="宋体" w:hAnsi="宋体"/>
                <w:szCs w:val="21"/>
              </w:rPr>
              <w:t>处理器</w:t>
            </w:r>
            <w:bookmarkEnd w:id="140"/>
            <w:r>
              <w:rPr>
                <w:rFonts w:hint="eastAsia" w:ascii="宋体" w:hAnsi="宋体"/>
                <w:szCs w:val="21"/>
              </w:rPr>
              <w:t>要求</w:t>
            </w:r>
          </w:p>
        </w:tc>
        <w:tc>
          <w:tcPr>
            <w:tcW w:w="5811" w:type="dxa"/>
            <w:vAlign w:val="center"/>
          </w:tcPr>
          <w:p>
            <w:pPr>
              <w:spacing w:line="0" w:lineRule="atLeast"/>
              <w:jc w:val="left"/>
              <w:rPr>
                <w:rFonts w:ascii="宋体" w:hAnsi="宋体"/>
                <w:szCs w:val="21"/>
              </w:rPr>
            </w:pPr>
            <w:r>
              <w:rPr>
                <w:rFonts w:hint="eastAsia" w:ascii="宋体" w:hAnsi="宋体"/>
                <w:szCs w:val="21"/>
              </w:rPr>
              <w:t>处理器类型：支持Intel® Xeon® Scalable Processors (TDP up to 205W)系列处理器</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支持配置数量：≥4颗skylake/cascade lake处理器(带散热器)</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★本次配置数量：4颗至强第二代</w:t>
            </w:r>
            <w:r>
              <w:rPr>
                <w:rFonts w:ascii="宋体" w:hAnsi="宋体"/>
                <w:szCs w:val="21"/>
              </w:rPr>
              <w:t>6</w:t>
            </w:r>
            <w:r>
              <w:rPr>
                <w:rFonts w:hint="eastAsia" w:ascii="宋体" w:hAnsi="宋体"/>
                <w:szCs w:val="21"/>
              </w:rPr>
              <w:t xml:space="preserve">系列可扩展处理器，主频≥2.1G HZ，每cpu≥ </w:t>
            </w:r>
            <w:r>
              <w:rPr>
                <w:rFonts w:ascii="宋体" w:hAnsi="宋体"/>
                <w:szCs w:val="21"/>
              </w:rPr>
              <w:t>20</w:t>
            </w:r>
            <w:r>
              <w:rPr>
                <w:rFonts w:hint="eastAsia" w:ascii="宋体" w:hAnsi="宋体"/>
                <w:szCs w:val="21"/>
              </w:rPr>
              <w:t>物理核，支持</w:t>
            </w:r>
            <w:r>
              <w:rPr>
                <w:rFonts w:ascii="宋体" w:hAnsi="宋体"/>
                <w:szCs w:val="21"/>
              </w:rPr>
              <w:t>DDR4-2933</w:t>
            </w:r>
            <w:r>
              <w:rPr>
                <w:rFonts w:hint="eastAsia" w:ascii="宋体" w:hAnsi="宋体"/>
                <w:szCs w:val="21"/>
              </w:rPr>
              <w:t>MHz内存。</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restart"/>
            <w:vAlign w:val="center"/>
          </w:tcPr>
          <w:p>
            <w:pPr>
              <w:spacing w:line="0" w:lineRule="atLeast"/>
              <w:jc w:val="left"/>
              <w:rPr>
                <w:rFonts w:ascii="宋体" w:hAnsi="宋体"/>
                <w:szCs w:val="21"/>
              </w:rPr>
            </w:pPr>
            <w:bookmarkStart w:id="141" w:name="OLE_LINK6"/>
            <w:r>
              <w:rPr>
                <w:rFonts w:hint="eastAsia" w:ascii="宋体" w:hAnsi="宋体"/>
                <w:szCs w:val="21"/>
              </w:rPr>
              <w:t>内存</w:t>
            </w:r>
            <w:bookmarkEnd w:id="141"/>
            <w:r>
              <w:rPr>
                <w:rFonts w:hint="eastAsia" w:ascii="宋体" w:hAnsi="宋体"/>
                <w:szCs w:val="21"/>
              </w:rPr>
              <w:t>要求</w:t>
            </w:r>
          </w:p>
        </w:tc>
        <w:tc>
          <w:tcPr>
            <w:tcW w:w="5811" w:type="dxa"/>
            <w:vAlign w:val="center"/>
          </w:tcPr>
          <w:p>
            <w:pPr>
              <w:spacing w:line="0" w:lineRule="atLeast"/>
              <w:jc w:val="left"/>
              <w:rPr>
                <w:rFonts w:ascii="宋体" w:hAnsi="宋体"/>
                <w:szCs w:val="21"/>
              </w:rPr>
            </w:pPr>
            <w:r>
              <w:rPr>
                <w:rFonts w:hint="eastAsia" w:ascii="宋体" w:hAnsi="宋体"/>
                <w:szCs w:val="21"/>
              </w:rPr>
              <w:t>总体要求：支持高级内存纠错（ECC）、内存镜像（Ememory mirroring）、内存热备（rank sparing）等高级功能，最大支持≥3T内存容量，支持2933MHz工作频率</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内存最大可扩展数量：≥48个内存插槽</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内存类型：支持RDIMM/LRDIMM内存;支持主流厂商内存颗粒；支持非易失性DCPMM内存</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★本次配置内存数量：≥16 * 64GB = 1TB 2933 MHz</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1366" w:type="dxa"/>
            <w:vMerge w:val="restart"/>
            <w:vAlign w:val="center"/>
          </w:tcPr>
          <w:p>
            <w:pPr>
              <w:spacing w:line="0" w:lineRule="atLeast"/>
              <w:jc w:val="left"/>
              <w:rPr>
                <w:rFonts w:ascii="宋体" w:hAnsi="宋体"/>
                <w:szCs w:val="21"/>
              </w:rPr>
            </w:pPr>
            <w:bookmarkStart w:id="142" w:name="OLE_LINK7"/>
            <w:r>
              <w:rPr>
                <w:rFonts w:hint="eastAsia" w:ascii="宋体" w:hAnsi="宋体"/>
                <w:szCs w:val="21"/>
              </w:rPr>
              <w:t>本地存储</w:t>
            </w:r>
            <w:bookmarkEnd w:id="142"/>
          </w:p>
        </w:tc>
        <w:tc>
          <w:tcPr>
            <w:tcW w:w="5811" w:type="dxa"/>
            <w:vAlign w:val="center"/>
          </w:tcPr>
          <w:p>
            <w:pPr>
              <w:spacing w:line="0" w:lineRule="atLeast"/>
              <w:jc w:val="left"/>
              <w:rPr>
                <w:rFonts w:ascii="宋体" w:hAnsi="宋体"/>
                <w:szCs w:val="21"/>
              </w:rPr>
            </w:pPr>
            <w:r>
              <w:rPr>
                <w:rFonts w:hint="eastAsia" w:ascii="宋体" w:hAnsi="宋体"/>
                <w:szCs w:val="21"/>
              </w:rPr>
              <w:t>总体要求：可支持24个2.5英寸硬盘槽位，支持SAS/SATA/NVMe接口，支持2个内置的M.2 SSD硬盘，支持NVMe PCIe SSD硬盘，支持硬盘热拔插</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本次配置：2块≥8</w:t>
            </w:r>
            <w:r>
              <w:rPr>
                <w:rFonts w:ascii="宋体" w:hAnsi="宋体"/>
                <w:szCs w:val="21"/>
              </w:rPr>
              <w:t>00G</w:t>
            </w:r>
            <w:r>
              <w:rPr>
                <w:rFonts w:hint="eastAsia" w:ascii="宋体" w:hAnsi="宋体"/>
                <w:szCs w:val="21"/>
              </w:rPr>
              <w:t>B 2.5</w:t>
            </w:r>
            <w:r>
              <w:rPr>
                <w:rFonts w:ascii="宋体" w:hAnsi="宋体"/>
                <w:szCs w:val="21"/>
              </w:rPr>
              <w:t xml:space="preserve"> </w:t>
            </w:r>
            <w:r>
              <w:rPr>
                <w:rFonts w:hint="eastAsia" w:ascii="宋体" w:hAnsi="宋体"/>
                <w:szCs w:val="21"/>
              </w:rPr>
              <w:t>SSD 12Gbs 热插拔硬盘</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标准接口</w:t>
            </w:r>
          </w:p>
        </w:tc>
        <w:tc>
          <w:tcPr>
            <w:tcW w:w="5811" w:type="dxa"/>
            <w:vAlign w:val="center"/>
          </w:tcPr>
          <w:p>
            <w:pPr>
              <w:spacing w:line="0" w:lineRule="atLeast"/>
              <w:jc w:val="left"/>
              <w:rPr>
                <w:rFonts w:ascii="宋体" w:hAnsi="宋体"/>
                <w:szCs w:val="21"/>
              </w:rPr>
            </w:pPr>
            <w:r>
              <w:rPr>
                <w:rFonts w:hint="eastAsia" w:ascii="宋体" w:hAnsi="宋体"/>
                <w:szCs w:val="21"/>
              </w:rPr>
              <w:t>2个USB3.0接口，1个VGA接口， 1个管理网口</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RAID支持</w:t>
            </w:r>
          </w:p>
        </w:tc>
        <w:tc>
          <w:tcPr>
            <w:tcW w:w="5811" w:type="dxa"/>
            <w:vAlign w:val="center"/>
          </w:tcPr>
          <w:p>
            <w:pPr>
              <w:spacing w:line="0" w:lineRule="atLeast"/>
              <w:jc w:val="left"/>
              <w:rPr>
                <w:rFonts w:ascii="宋体" w:hAnsi="宋体"/>
                <w:szCs w:val="21"/>
              </w:rPr>
            </w:pPr>
            <w:r>
              <w:rPr>
                <w:rFonts w:hint="eastAsia" w:ascii="宋体" w:hAnsi="宋体"/>
                <w:szCs w:val="21"/>
              </w:rPr>
              <w:t>★支持12Gb/s SAS RAID; 支持SAS/SATA/NVME混合模式; 提供RAID 0/1/5/10/50；</w:t>
            </w:r>
            <w:r>
              <w:rPr>
                <w:rFonts w:hint="eastAsia" w:ascii="宋体" w:hAnsi="宋体" w:cs="仿宋"/>
                <w:szCs w:val="21"/>
                <w:lang w:val="zh-TW" w:eastAsia="zh-TW"/>
              </w:rPr>
              <w:t>缓存</w:t>
            </w:r>
            <w:r>
              <w:rPr>
                <w:rFonts w:hint="eastAsia" w:ascii="宋体" w:hAnsi="宋体"/>
                <w:szCs w:val="21"/>
              </w:rPr>
              <w:t>≥</w:t>
            </w:r>
            <w:r>
              <w:rPr>
                <w:rFonts w:hint="eastAsia" w:ascii="宋体" w:hAnsi="宋体" w:cs="仿宋"/>
                <w:szCs w:val="21"/>
                <w:lang w:eastAsia="zh-TW"/>
              </w:rPr>
              <w:t>2G</w:t>
            </w:r>
            <w:r>
              <w:rPr>
                <w:rFonts w:hint="eastAsia" w:ascii="宋体" w:hAnsi="宋体" w:cs="仿宋"/>
                <w:szCs w:val="21"/>
              </w:rPr>
              <w:t>，</w:t>
            </w:r>
            <w:r>
              <w:rPr>
                <w:rFonts w:hint="eastAsia" w:ascii="宋体" w:hAnsi="宋体" w:cs="仿宋"/>
                <w:szCs w:val="21"/>
                <w:lang w:val="zh-TW" w:eastAsia="zh-TW"/>
              </w:rPr>
              <w:t>配置超级电容</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restart"/>
            <w:vAlign w:val="center"/>
          </w:tcPr>
          <w:p>
            <w:pPr>
              <w:spacing w:line="0" w:lineRule="atLeast"/>
              <w:jc w:val="left"/>
              <w:rPr>
                <w:rFonts w:ascii="宋体" w:hAnsi="宋体"/>
                <w:szCs w:val="21"/>
              </w:rPr>
            </w:pPr>
            <w:bookmarkStart w:id="143" w:name="OLE_LINK8"/>
            <w:r>
              <w:rPr>
                <w:rFonts w:hint="eastAsia" w:ascii="宋体" w:hAnsi="宋体"/>
                <w:szCs w:val="21"/>
              </w:rPr>
              <w:t>网络接口</w:t>
            </w:r>
            <w:bookmarkEnd w:id="143"/>
          </w:p>
        </w:tc>
        <w:tc>
          <w:tcPr>
            <w:tcW w:w="5811" w:type="dxa"/>
            <w:vAlign w:val="center"/>
          </w:tcPr>
          <w:p>
            <w:pPr>
              <w:spacing w:line="0" w:lineRule="atLeast"/>
              <w:jc w:val="left"/>
              <w:rPr>
                <w:rFonts w:ascii="宋体" w:hAnsi="宋体"/>
                <w:szCs w:val="21"/>
              </w:rPr>
            </w:pPr>
            <w:r>
              <w:rPr>
                <w:rFonts w:hint="eastAsia" w:ascii="宋体" w:hAnsi="宋体"/>
                <w:szCs w:val="21"/>
              </w:rPr>
              <w:t>支持标准1Gb/10Gb/25Gb/40G/100Gb以太网络,支持1/2/4个以太网接口或光纤网络接口</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★本次配置网卡数量：≥</w:t>
            </w:r>
            <w:r>
              <w:rPr>
                <w:rFonts w:ascii="宋体" w:hAnsi="宋体"/>
                <w:szCs w:val="21"/>
              </w:rPr>
              <w:t>2</w:t>
            </w:r>
            <w:r>
              <w:rPr>
                <w:rFonts w:hint="eastAsia" w:ascii="宋体" w:hAnsi="宋体"/>
                <w:szCs w:val="21"/>
              </w:rPr>
              <w:t>个10Gb光网口，HBA卡 ≥4个</w:t>
            </w:r>
            <w:r>
              <w:rPr>
                <w:rFonts w:ascii="宋体" w:hAnsi="宋体"/>
                <w:szCs w:val="21"/>
              </w:rPr>
              <w:t>FC 32</w:t>
            </w:r>
            <w:r>
              <w:rPr>
                <w:rFonts w:hint="eastAsia" w:ascii="宋体" w:hAnsi="宋体"/>
                <w:szCs w:val="21"/>
              </w:rPr>
              <w:t>Gb 光口（含多模模块）</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I/O扩展槽及配置</w:t>
            </w:r>
          </w:p>
        </w:tc>
        <w:tc>
          <w:tcPr>
            <w:tcW w:w="5811" w:type="dxa"/>
            <w:vAlign w:val="center"/>
          </w:tcPr>
          <w:p>
            <w:pPr>
              <w:spacing w:line="0" w:lineRule="atLeast"/>
              <w:jc w:val="left"/>
              <w:rPr>
                <w:rFonts w:ascii="宋体" w:hAnsi="宋体"/>
                <w:szCs w:val="21"/>
              </w:rPr>
            </w:pPr>
            <w:r>
              <w:rPr>
                <w:rFonts w:hint="eastAsia" w:ascii="宋体" w:hAnsi="宋体"/>
                <w:szCs w:val="21"/>
              </w:rPr>
              <w:t>支持≥</w:t>
            </w:r>
            <w:r>
              <w:rPr>
                <w:rFonts w:ascii="宋体" w:hAnsi="宋体"/>
                <w:szCs w:val="21"/>
              </w:rPr>
              <w:t>8</w:t>
            </w:r>
            <w:r>
              <w:rPr>
                <w:rFonts w:hint="eastAsia" w:ascii="宋体" w:hAnsi="宋体"/>
                <w:szCs w:val="21"/>
              </w:rPr>
              <w:t>个PCIe</w:t>
            </w:r>
            <w:r>
              <w:rPr>
                <w:rFonts w:ascii="宋体" w:hAnsi="宋体"/>
                <w:szCs w:val="21"/>
              </w:rPr>
              <w:t xml:space="preserve">3.0 </w:t>
            </w:r>
            <w:r>
              <w:rPr>
                <w:rFonts w:hint="eastAsia" w:ascii="宋体" w:hAnsi="宋体"/>
                <w:szCs w:val="21"/>
              </w:rPr>
              <w:t>x8插槽，≥2个PCIe</w:t>
            </w:r>
            <w:r>
              <w:rPr>
                <w:rFonts w:ascii="宋体" w:hAnsi="宋体"/>
                <w:szCs w:val="21"/>
              </w:rPr>
              <w:t>3.0</w:t>
            </w:r>
            <w:r>
              <w:rPr>
                <w:rFonts w:hint="eastAsia" w:ascii="宋体" w:hAnsi="宋体"/>
                <w:szCs w:val="21"/>
              </w:rPr>
              <w:t xml:space="preserve"> x</w:t>
            </w:r>
            <w:r>
              <w:rPr>
                <w:rFonts w:ascii="宋体" w:hAnsi="宋体"/>
                <w:szCs w:val="21"/>
              </w:rPr>
              <w:t>16</w:t>
            </w:r>
            <w:r>
              <w:rPr>
                <w:rFonts w:hint="eastAsia" w:ascii="宋体" w:hAnsi="宋体"/>
                <w:szCs w:val="21"/>
              </w:rPr>
              <w:t>插槽</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电源模块</w:t>
            </w:r>
          </w:p>
        </w:tc>
        <w:tc>
          <w:tcPr>
            <w:tcW w:w="5811" w:type="dxa"/>
            <w:vAlign w:val="center"/>
          </w:tcPr>
          <w:p>
            <w:pPr>
              <w:spacing w:line="0" w:lineRule="atLeast"/>
              <w:jc w:val="left"/>
              <w:rPr>
                <w:rFonts w:ascii="宋体" w:hAnsi="宋体"/>
                <w:szCs w:val="21"/>
              </w:rPr>
            </w:pPr>
            <w:r>
              <w:rPr>
                <w:rFonts w:hint="eastAsia" w:ascii="宋体" w:hAnsi="宋体"/>
                <w:szCs w:val="21"/>
              </w:rPr>
              <w:t>配置</w:t>
            </w:r>
            <w:r>
              <w:rPr>
                <w:rFonts w:ascii="宋体" w:hAnsi="宋体"/>
                <w:szCs w:val="21"/>
              </w:rPr>
              <w:t>11</w:t>
            </w:r>
            <w:r>
              <w:rPr>
                <w:rFonts w:hint="eastAsia" w:ascii="宋体" w:hAnsi="宋体"/>
                <w:szCs w:val="21"/>
              </w:rPr>
              <w:t>00W或以上冗余热插拔电源数量≥2个，并提供配套的电源连接线</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散热</w:t>
            </w:r>
          </w:p>
        </w:tc>
        <w:tc>
          <w:tcPr>
            <w:tcW w:w="5811" w:type="dxa"/>
            <w:vAlign w:val="center"/>
          </w:tcPr>
          <w:p>
            <w:pPr>
              <w:spacing w:line="0" w:lineRule="atLeast"/>
              <w:jc w:val="left"/>
              <w:rPr>
                <w:rFonts w:ascii="宋体" w:hAnsi="宋体"/>
                <w:szCs w:val="21"/>
              </w:rPr>
            </w:pPr>
            <w:r>
              <w:rPr>
                <w:rFonts w:hint="eastAsia" w:ascii="宋体" w:hAnsi="宋体"/>
                <w:szCs w:val="21"/>
              </w:rPr>
              <w:t>配置≥4个冗余热插拔风扇。风扇支持免工具热插拔维护。风扇转速自动调节；风流向前进后出；具备防回流设计</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环境温度</w:t>
            </w:r>
          </w:p>
        </w:tc>
        <w:tc>
          <w:tcPr>
            <w:tcW w:w="5811" w:type="dxa"/>
            <w:vAlign w:val="center"/>
          </w:tcPr>
          <w:p>
            <w:pPr>
              <w:spacing w:line="0" w:lineRule="atLeast"/>
              <w:jc w:val="left"/>
              <w:rPr>
                <w:rFonts w:ascii="宋体" w:hAnsi="宋体"/>
                <w:szCs w:val="21"/>
              </w:rPr>
            </w:pPr>
            <w:r>
              <w:rPr>
                <w:rFonts w:hint="eastAsia" w:ascii="宋体" w:hAnsi="宋体"/>
                <w:szCs w:val="21"/>
              </w:rPr>
              <w:t>5-45℃，提供产品彩页</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管理功能</w:t>
            </w:r>
          </w:p>
        </w:tc>
        <w:tc>
          <w:tcPr>
            <w:tcW w:w="5811" w:type="dxa"/>
            <w:vAlign w:val="center"/>
          </w:tcPr>
          <w:p>
            <w:pPr>
              <w:spacing w:line="0" w:lineRule="atLeast"/>
              <w:jc w:val="left"/>
              <w:rPr>
                <w:rFonts w:ascii="宋体" w:hAnsi="宋体"/>
                <w:szCs w:val="21"/>
              </w:rPr>
            </w:pPr>
            <w:r>
              <w:rPr>
                <w:rFonts w:hint="eastAsia" w:ascii="宋体" w:hAnsi="宋体"/>
                <w:szCs w:val="21"/>
              </w:rPr>
              <w:t>支持远程管理控制，例如IPMI2.0，SNMP，Redfish等，标配故障诊断屏</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安全可信</w:t>
            </w:r>
          </w:p>
        </w:tc>
        <w:tc>
          <w:tcPr>
            <w:tcW w:w="5811" w:type="dxa"/>
            <w:vAlign w:val="center"/>
          </w:tcPr>
          <w:p>
            <w:pPr>
              <w:spacing w:line="0" w:lineRule="atLeast"/>
              <w:jc w:val="left"/>
              <w:rPr>
                <w:rFonts w:ascii="宋体" w:hAnsi="宋体"/>
                <w:szCs w:val="21"/>
              </w:rPr>
            </w:pPr>
            <w:r>
              <w:rPr>
                <w:rFonts w:hint="eastAsia" w:ascii="宋体" w:hAnsi="宋体"/>
                <w:szCs w:val="21"/>
              </w:rPr>
              <w:t>支持可信平台TPM或</w:t>
            </w:r>
            <w:r>
              <w:rPr>
                <w:rFonts w:ascii="宋体" w:hAnsi="宋体"/>
                <w:szCs w:val="21"/>
              </w:rPr>
              <w:t>TCM</w:t>
            </w:r>
            <w:r>
              <w:rPr>
                <w:rFonts w:hint="eastAsia" w:ascii="宋体" w:hAnsi="宋体"/>
                <w:szCs w:val="21"/>
              </w:rPr>
              <w:t>模块</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保修售后</w:t>
            </w:r>
          </w:p>
        </w:tc>
        <w:tc>
          <w:tcPr>
            <w:tcW w:w="5811" w:type="dxa"/>
            <w:vAlign w:val="center"/>
          </w:tcPr>
          <w:p>
            <w:pPr>
              <w:spacing w:line="0" w:lineRule="atLeast"/>
              <w:jc w:val="left"/>
              <w:rPr>
                <w:rFonts w:ascii="宋体" w:hAnsi="宋体"/>
                <w:szCs w:val="21"/>
              </w:rPr>
            </w:pPr>
            <w:r>
              <w:rPr>
                <w:rFonts w:hint="eastAsia" w:ascii="宋体" w:hAnsi="宋体"/>
                <w:szCs w:val="21"/>
              </w:rPr>
              <w:t>硬件原厂</w:t>
            </w:r>
            <w:r>
              <w:rPr>
                <w:rFonts w:hint="eastAsia" w:ascii="宋体" w:hAnsi="宋体"/>
                <w:b/>
                <w:bCs/>
                <w:szCs w:val="21"/>
              </w:rPr>
              <w:t>三年保修，7x</w:t>
            </w:r>
            <w:r>
              <w:rPr>
                <w:rFonts w:ascii="宋体" w:hAnsi="宋体"/>
                <w:b/>
                <w:bCs/>
                <w:szCs w:val="21"/>
              </w:rPr>
              <w:t>24</w:t>
            </w:r>
            <w:r>
              <w:rPr>
                <w:rFonts w:hint="eastAsia" w:ascii="宋体" w:hAnsi="宋体"/>
                <w:b/>
                <w:bCs/>
                <w:szCs w:val="21"/>
              </w:rPr>
              <w:t>x4</w:t>
            </w:r>
            <w:r>
              <w:rPr>
                <w:rFonts w:ascii="宋体" w:hAnsi="宋体"/>
                <w:b/>
                <w:bCs/>
                <w:szCs w:val="21"/>
              </w:rPr>
              <w:t xml:space="preserve"> </w:t>
            </w:r>
            <w:r>
              <w:rPr>
                <w:rFonts w:hint="eastAsia" w:ascii="宋体" w:hAnsi="宋体"/>
                <w:b/>
                <w:bCs/>
                <w:szCs w:val="21"/>
              </w:rPr>
              <w:t>原厂工程师带备件</w:t>
            </w:r>
            <w:r>
              <w:rPr>
                <w:rFonts w:hint="eastAsia" w:ascii="宋体" w:hAnsi="宋体"/>
                <w:szCs w:val="21"/>
              </w:rPr>
              <w:t>上门现场支持服务</w:t>
            </w:r>
            <w:r>
              <w:rPr>
                <w:rFonts w:ascii="宋体" w:hAnsi="宋体"/>
                <w:szCs w:val="21"/>
              </w:rPr>
              <w:t>（</w:t>
            </w:r>
            <w:r>
              <w:rPr>
                <w:rFonts w:hint="eastAsia" w:ascii="宋体" w:hAnsi="宋体"/>
                <w:szCs w:val="21"/>
              </w:rPr>
              <w:t>厂家授权函原件</w:t>
            </w:r>
            <w:r>
              <w:rPr>
                <w:rFonts w:ascii="宋体" w:hAnsi="宋体"/>
                <w:szCs w:val="21"/>
              </w:rPr>
              <w:t>）</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Merge w:val="restart"/>
            <w:vAlign w:val="center"/>
          </w:tcPr>
          <w:p>
            <w:pPr>
              <w:spacing w:line="0" w:lineRule="atLeast"/>
              <w:jc w:val="left"/>
              <w:rPr>
                <w:rFonts w:ascii="宋体" w:hAnsi="宋体"/>
                <w:szCs w:val="21"/>
              </w:rPr>
            </w:pPr>
            <w:r>
              <w:rPr>
                <w:rFonts w:hint="eastAsia" w:ascii="宋体" w:hAnsi="宋体"/>
                <w:szCs w:val="21"/>
              </w:rPr>
              <w:t>其它要求</w:t>
            </w:r>
          </w:p>
        </w:tc>
        <w:tc>
          <w:tcPr>
            <w:tcW w:w="5811" w:type="dxa"/>
            <w:vAlign w:val="center"/>
          </w:tcPr>
          <w:p>
            <w:pPr>
              <w:spacing w:line="0" w:lineRule="atLeast"/>
              <w:jc w:val="left"/>
              <w:rPr>
                <w:rFonts w:ascii="宋体" w:hAnsi="宋体"/>
                <w:szCs w:val="21"/>
              </w:rPr>
            </w:pPr>
            <w:r>
              <w:rPr>
                <w:rFonts w:hint="eastAsia" w:ascii="宋体" w:hAnsi="宋体"/>
                <w:szCs w:val="21"/>
              </w:rPr>
              <w:t>标配导轨*1、理线架*1</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★注： 由于第一批专用服务器采购已选择华为专用服务器，为确保能顺利组建双活集群，本次</w:t>
            </w:r>
            <w:r>
              <w:rPr>
                <w:rFonts w:hint="eastAsia" w:ascii="宋体" w:hAnsi="宋体"/>
                <w:b/>
                <w:bCs/>
                <w:szCs w:val="21"/>
              </w:rPr>
              <w:t>专用服务器</w:t>
            </w:r>
            <w:r>
              <w:rPr>
                <w:rFonts w:hint="eastAsia" w:ascii="宋体" w:hAnsi="宋体"/>
                <w:b/>
                <w:bCs/>
                <w:color w:val="FF0000"/>
                <w:szCs w:val="21"/>
              </w:rPr>
              <w:t>只能</w:t>
            </w:r>
            <w:r>
              <w:rPr>
                <w:rFonts w:hint="eastAsia" w:ascii="宋体" w:hAnsi="宋体"/>
                <w:b/>
                <w:bCs/>
                <w:szCs w:val="21"/>
              </w:rPr>
              <w:t>选择华为</w:t>
            </w:r>
            <w:r>
              <w:rPr>
                <w:rFonts w:hint="eastAsia" w:ascii="宋体" w:hAnsi="宋体"/>
                <w:szCs w:val="21"/>
              </w:rPr>
              <w:t>服务器。 如果选择其它专用服务器，视为弃标。</w:t>
            </w:r>
          </w:p>
        </w:tc>
        <w:tc>
          <w:tcPr>
            <w:tcW w:w="2180"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Merge w:val="continue"/>
            <w:vAlign w:val="center"/>
          </w:tcPr>
          <w:p>
            <w:pPr>
              <w:spacing w:line="0" w:lineRule="atLeast"/>
              <w:jc w:val="left"/>
              <w:rPr>
                <w:rFonts w:ascii="宋体" w:hAnsi="宋体"/>
                <w:szCs w:val="21"/>
              </w:rPr>
            </w:pPr>
          </w:p>
        </w:tc>
        <w:tc>
          <w:tcPr>
            <w:tcW w:w="5811" w:type="dxa"/>
            <w:vAlign w:val="center"/>
          </w:tcPr>
          <w:p>
            <w:pPr>
              <w:spacing w:line="0" w:lineRule="atLeast"/>
              <w:jc w:val="left"/>
              <w:rPr>
                <w:rFonts w:ascii="宋体" w:hAnsi="宋体"/>
                <w:szCs w:val="21"/>
              </w:rPr>
            </w:pPr>
            <w:r>
              <w:rPr>
                <w:rFonts w:hint="eastAsia" w:ascii="宋体" w:hAnsi="宋体"/>
                <w:szCs w:val="21"/>
              </w:rPr>
              <w:t>对标的服务器型号为华为的</w:t>
            </w:r>
            <w:r>
              <w:rPr>
                <w:rFonts w:ascii="宋体" w:hAnsi="宋体"/>
                <w:b/>
                <w:bCs/>
                <w:szCs w:val="21"/>
              </w:rPr>
              <w:t>FusionServer Pro 5885H V5</w:t>
            </w:r>
            <w:r>
              <w:rPr>
                <w:rFonts w:hint="eastAsia" w:ascii="宋体" w:hAnsi="宋体"/>
                <w:szCs w:val="21"/>
              </w:rPr>
              <w:t>。</w:t>
            </w:r>
          </w:p>
        </w:tc>
        <w:tc>
          <w:tcPr>
            <w:tcW w:w="2180" w:type="dxa"/>
            <w:vAlign w:val="center"/>
          </w:tcPr>
          <w:p>
            <w:pPr>
              <w:spacing w:line="0" w:lineRule="atLeast"/>
              <w:jc w:val="left"/>
              <w:rPr>
                <w:rFonts w:ascii="宋体" w:hAnsi="宋体"/>
                <w:szCs w:val="21"/>
              </w:rPr>
            </w:pPr>
          </w:p>
        </w:tc>
      </w:tr>
    </w:tbl>
    <w:p>
      <w:pPr>
        <w:pStyle w:val="67"/>
        <w:spacing w:line="360" w:lineRule="auto"/>
        <w:rPr>
          <w:rFonts w:ascii="宋体" w:hAnsi="宋体" w:cs="宋体"/>
          <w:b/>
          <w:bCs/>
          <w:sz w:val="24"/>
          <w:szCs w:val="24"/>
        </w:rPr>
      </w:pPr>
    </w:p>
    <w:p>
      <w:pPr>
        <w:pStyle w:val="67"/>
        <w:spacing w:line="360" w:lineRule="auto"/>
        <w:jc w:val="left"/>
        <w:rPr>
          <w:rFonts w:ascii="宋体" w:hAnsi="宋体" w:cs="宋体"/>
          <w:b/>
          <w:bCs/>
          <w:sz w:val="24"/>
          <w:szCs w:val="24"/>
        </w:rPr>
      </w:pPr>
      <w:r>
        <w:rPr>
          <w:rFonts w:hint="eastAsia" w:ascii="宋体" w:hAnsi="宋体" w:cs="宋体"/>
          <w:b/>
          <w:bCs/>
          <w:sz w:val="24"/>
          <w:szCs w:val="24"/>
        </w:rPr>
        <w:t>2）存储柜（1台）</w:t>
      </w:r>
    </w:p>
    <w:tbl>
      <w:tblPr>
        <w:tblStyle w:val="21"/>
        <w:tblW w:w="9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6"/>
        <w:gridCol w:w="6567"/>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Align w:val="center"/>
          </w:tcPr>
          <w:p>
            <w:pPr>
              <w:spacing w:line="0" w:lineRule="atLeast"/>
              <w:jc w:val="center"/>
              <w:rPr>
                <w:rFonts w:ascii="宋体" w:hAnsi="宋体"/>
                <w:b/>
                <w:bCs/>
                <w:szCs w:val="21"/>
              </w:rPr>
            </w:pPr>
            <w:r>
              <w:rPr>
                <w:rFonts w:hint="eastAsia" w:ascii="宋体" w:hAnsi="宋体"/>
                <w:b/>
                <w:bCs/>
                <w:szCs w:val="21"/>
              </w:rPr>
              <w:t>指标项目</w:t>
            </w:r>
          </w:p>
        </w:tc>
        <w:tc>
          <w:tcPr>
            <w:tcW w:w="6567" w:type="dxa"/>
            <w:vAlign w:val="center"/>
          </w:tcPr>
          <w:p>
            <w:pPr>
              <w:spacing w:line="0" w:lineRule="atLeast"/>
              <w:jc w:val="center"/>
              <w:rPr>
                <w:rFonts w:ascii="宋体" w:hAnsi="宋体"/>
                <w:b/>
                <w:bCs/>
                <w:szCs w:val="21"/>
              </w:rPr>
            </w:pPr>
            <w:r>
              <w:rPr>
                <w:rFonts w:hint="eastAsia" w:ascii="宋体" w:hAnsi="宋体"/>
                <w:b/>
                <w:bCs/>
                <w:szCs w:val="21"/>
              </w:rPr>
              <w:t xml:space="preserve">技 </w:t>
            </w:r>
            <w:r>
              <w:rPr>
                <w:rFonts w:ascii="宋体" w:hAnsi="宋体"/>
                <w:b/>
                <w:bCs/>
                <w:szCs w:val="21"/>
              </w:rPr>
              <w:t xml:space="preserve"> </w:t>
            </w:r>
            <w:r>
              <w:rPr>
                <w:rFonts w:hint="eastAsia" w:ascii="宋体" w:hAnsi="宋体"/>
                <w:b/>
                <w:bCs/>
                <w:szCs w:val="21"/>
              </w:rPr>
              <w:t xml:space="preserve">术 </w:t>
            </w:r>
            <w:r>
              <w:rPr>
                <w:rFonts w:ascii="宋体" w:hAnsi="宋体"/>
                <w:b/>
                <w:bCs/>
                <w:szCs w:val="21"/>
              </w:rPr>
              <w:t xml:space="preserve"> </w:t>
            </w:r>
            <w:r>
              <w:rPr>
                <w:rFonts w:hint="eastAsia" w:ascii="宋体" w:hAnsi="宋体"/>
                <w:b/>
                <w:bCs/>
                <w:szCs w:val="21"/>
              </w:rPr>
              <w:t xml:space="preserve">要 </w:t>
            </w:r>
            <w:r>
              <w:rPr>
                <w:rFonts w:ascii="宋体" w:hAnsi="宋体"/>
                <w:b/>
                <w:bCs/>
                <w:szCs w:val="21"/>
              </w:rPr>
              <w:t xml:space="preserve"> </w:t>
            </w:r>
            <w:r>
              <w:rPr>
                <w:rFonts w:hint="eastAsia" w:ascii="宋体" w:hAnsi="宋体"/>
                <w:b/>
                <w:bCs/>
                <w:szCs w:val="21"/>
              </w:rPr>
              <w:t>求</w:t>
            </w:r>
          </w:p>
        </w:tc>
        <w:tc>
          <w:tcPr>
            <w:tcW w:w="1424" w:type="dxa"/>
            <w:vAlign w:val="center"/>
          </w:tcPr>
          <w:p>
            <w:pPr>
              <w:spacing w:line="0" w:lineRule="atLeast"/>
              <w:jc w:val="center"/>
              <w:rPr>
                <w:rFonts w:ascii="宋体" w:hAnsi="宋体"/>
                <w:b/>
                <w:bCs/>
                <w:szCs w:val="21"/>
              </w:rPr>
            </w:pPr>
            <w:r>
              <w:rPr>
                <w:rFonts w:hint="eastAsia" w:ascii="宋体" w:hAnsi="宋体"/>
                <w:b/>
                <w:bCs/>
                <w:szCs w:val="21"/>
              </w:rPr>
              <w:t>投标方响应情况说明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机箱</w:t>
            </w:r>
          </w:p>
        </w:tc>
        <w:tc>
          <w:tcPr>
            <w:tcW w:w="6567" w:type="dxa"/>
            <w:vAlign w:val="center"/>
          </w:tcPr>
          <w:p>
            <w:pPr>
              <w:spacing w:line="0" w:lineRule="atLeast"/>
              <w:jc w:val="left"/>
              <w:rPr>
                <w:rFonts w:ascii="宋体" w:hAnsi="宋体"/>
                <w:szCs w:val="21"/>
              </w:rPr>
            </w:pPr>
            <w:r>
              <w:rPr>
                <w:rFonts w:hint="eastAsia" w:ascii="宋体" w:hAnsi="宋体"/>
                <w:szCs w:val="21"/>
              </w:rPr>
              <w:t>标准</w:t>
            </w:r>
            <w:r>
              <w:rPr>
                <w:rFonts w:ascii="宋体" w:hAnsi="宋体"/>
                <w:szCs w:val="21"/>
              </w:rPr>
              <w:t>2</w:t>
            </w:r>
            <w:r>
              <w:rPr>
                <w:rFonts w:hint="eastAsia" w:ascii="宋体" w:hAnsi="宋体"/>
                <w:szCs w:val="21"/>
              </w:rPr>
              <w:t>U服务器，可支持导轨及理线架</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1366" w:type="dxa"/>
            <w:vMerge w:val="restart"/>
            <w:vAlign w:val="center"/>
          </w:tcPr>
          <w:p>
            <w:pPr>
              <w:spacing w:line="0" w:lineRule="atLeast"/>
              <w:jc w:val="left"/>
              <w:rPr>
                <w:rFonts w:ascii="宋体" w:hAnsi="宋体"/>
                <w:szCs w:val="21"/>
              </w:rPr>
            </w:pPr>
            <w:r>
              <w:rPr>
                <w:rFonts w:hint="eastAsia" w:ascii="宋体" w:hAnsi="宋体"/>
                <w:szCs w:val="21"/>
              </w:rPr>
              <w:t>控制器</w:t>
            </w:r>
          </w:p>
        </w:tc>
        <w:tc>
          <w:tcPr>
            <w:tcW w:w="6567" w:type="dxa"/>
            <w:vAlign w:val="center"/>
          </w:tcPr>
          <w:p>
            <w:pPr>
              <w:spacing w:line="0" w:lineRule="atLeast"/>
              <w:jc w:val="left"/>
              <w:rPr>
                <w:rFonts w:ascii="宋体" w:hAnsi="宋体"/>
                <w:szCs w:val="21"/>
              </w:rPr>
            </w:pPr>
            <w:r>
              <w:rPr>
                <w:rFonts w:hint="eastAsia" w:ascii="宋体" w:hAnsi="宋体"/>
                <w:szCs w:val="21"/>
              </w:rPr>
              <w:t>★双控制器冗余架构，支持热插拔更换，支持可扩展</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bookmarkStart w:id="144" w:name="OLE_LINK9"/>
            <w:bookmarkStart w:id="145" w:name="OLE_LINK10"/>
            <w:r>
              <w:rPr>
                <w:rFonts w:hint="eastAsia" w:ascii="宋体" w:hAnsi="宋体"/>
                <w:szCs w:val="21"/>
              </w:rPr>
              <w:t>★</w:t>
            </w:r>
            <w:bookmarkEnd w:id="144"/>
            <w:bookmarkEnd w:id="145"/>
            <w:r>
              <w:rPr>
                <w:rFonts w:hint="eastAsia" w:ascii="宋体" w:hAnsi="宋体"/>
                <w:szCs w:val="21"/>
              </w:rPr>
              <w:t>实配控制器数量≥2，双活工作模式</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★每控制器≥</w:t>
            </w:r>
            <w:r>
              <w:rPr>
                <w:rFonts w:ascii="宋体" w:hAnsi="宋体"/>
                <w:szCs w:val="21"/>
              </w:rPr>
              <w:t>64</w:t>
            </w:r>
            <w:r>
              <w:rPr>
                <w:rFonts w:hint="eastAsia" w:ascii="宋体" w:hAnsi="宋体"/>
                <w:szCs w:val="21"/>
              </w:rPr>
              <w:t>GB缓存（不含任何性能加速模块或缓存卡等）</w:t>
            </w:r>
            <w:r>
              <w:rPr>
                <w:rFonts w:hint="eastAsia" w:ascii="宋体" w:hAnsi="宋体"/>
                <w:szCs w:val="21"/>
              </w:rPr>
              <w:br w:type="textWrapping"/>
            </w:r>
            <w:r>
              <w:rPr>
                <w:rFonts w:hint="eastAsia" w:ascii="宋体" w:hAnsi="宋体"/>
                <w:szCs w:val="21"/>
              </w:rPr>
              <w:t>带断电保护功能，出现电源故障时，可提供充足的电源，将高速缓存内容转储至非易失性内部存储设备上（非通用服务器架构）</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1366" w:type="dxa"/>
            <w:vMerge w:val="restart"/>
            <w:vAlign w:val="center"/>
          </w:tcPr>
          <w:p>
            <w:pPr>
              <w:spacing w:line="0" w:lineRule="atLeast"/>
              <w:jc w:val="left"/>
              <w:rPr>
                <w:rFonts w:ascii="宋体" w:hAnsi="宋体"/>
                <w:szCs w:val="21"/>
              </w:rPr>
            </w:pPr>
            <w:r>
              <w:rPr>
                <w:rFonts w:hint="eastAsia" w:ascii="宋体" w:hAnsi="宋体"/>
                <w:szCs w:val="21"/>
              </w:rPr>
              <w:t>存储磁盘容量要求</w:t>
            </w:r>
          </w:p>
        </w:tc>
        <w:tc>
          <w:tcPr>
            <w:tcW w:w="6567" w:type="dxa"/>
            <w:vAlign w:val="center"/>
          </w:tcPr>
          <w:p>
            <w:pPr>
              <w:spacing w:line="0" w:lineRule="atLeast"/>
              <w:jc w:val="left"/>
              <w:rPr>
                <w:rFonts w:ascii="宋体" w:hAnsi="宋体"/>
                <w:szCs w:val="21"/>
              </w:rPr>
            </w:pPr>
            <w:r>
              <w:rPr>
                <w:rFonts w:hint="eastAsia" w:ascii="宋体" w:hAnsi="宋体"/>
                <w:szCs w:val="21"/>
              </w:rPr>
              <w:t>支持SAS SSD、SAS、NLSAS硬盘，并支持混插</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槽位≥24个 2.</w:t>
            </w:r>
            <w:r>
              <w:rPr>
                <w:rFonts w:ascii="宋体" w:hAnsi="宋体"/>
                <w:szCs w:val="21"/>
              </w:rPr>
              <w:t>5</w:t>
            </w:r>
            <w:r>
              <w:rPr>
                <w:rFonts w:hint="eastAsia" w:ascii="宋体" w:hAnsi="宋体"/>
                <w:szCs w:val="21"/>
              </w:rPr>
              <w:t>寸盘，支持可扩展</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★本次配置：企业级热插拔硬盘</w:t>
            </w:r>
            <w:r>
              <w:rPr>
                <w:rFonts w:ascii="宋体" w:hAnsi="宋体"/>
                <w:szCs w:val="21"/>
              </w:rPr>
              <w:t xml:space="preserve"> 2</w:t>
            </w:r>
            <w:r>
              <w:rPr>
                <w:rFonts w:hint="eastAsia" w:ascii="宋体" w:hAnsi="宋体"/>
                <w:szCs w:val="21"/>
              </w:rPr>
              <w:t>.</w:t>
            </w:r>
            <w:r>
              <w:rPr>
                <w:rFonts w:ascii="宋体" w:hAnsi="宋体"/>
                <w:szCs w:val="21"/>
              </w:rPr>
              <w:t>5</w:t>
            </w:r>
            <w:r>
              <w:rPr>
                <w:rFonts w:hint="eastAsia" w:ascii="宋体" w:hAnsi="宋体"/>
                <w:szCs w:val="21"/>
              </w:rPr>
              <w:t xml:space="preserve">寸 </w:t>
            </w:r>
            <w:r>
              <w:rPr>
                <w:rFonts w:ascii="宋体" w:hAnsi="宋体"/>
                <w:szCs w:val="21"/>
              </w:rPr>
              <w:br w:type="textWrapping"/>
            </w:r>
            <w:r>
              <w:rPr>
                <w:rFonts w:hint="eastAsia" w:ascii="宋体" w:hAnsi="宋体"/>
                <w:szCs w:val="21"/>
              </w:rPr>
              <w:t>S</w:t>
            </w:r>
            <w:r>
              <w:rPr>
                <w:rFonts w:ascii="宋体" w:hAnsi="宋体"/>
                <w:szCs w:val="21"/>
              </w:rPr>
              <w:t>SD</w:t>
            </w:r>
            <w:r>
              <w:rPr>
                <w:rFonts w:hint="eastAsia" w:ascii="宋体" w:hAnsi="宋体"/>
                <w:szCs w:val="21"/>
              </w:rPr>
              <w:t>总容量≥5TB</w:t>
            </w:r>
            <w:r>
              <w:rPr>
                <w:rFonts w:ascii="宋体" w:hAnsi="宋体"/>
                <w:szCs w:val="21"/>
              </w:rPr>
              <w:t xml:space="preserve"> </w:t>
            </w:r>
            <w:r>
              <w:rPr>
                <w:rFonts w:hint="eastAsia" w:ascii="宋体" w:hAnsi="宋体"/>
                <w:szCs w:val="21"/>
              </w:rPr>
              <w:t>单盘不低于800GB</w:t>
            </w:r>
            <w:r>
              <w:rPr>
                <w:rFonts w:ascii="宋体" w:hAnsi="宋体"/>
                <w:szCs w:val="21"/>
              </w:rPr>
              <w:t xml:space="preserve"> 12Gbps 3dwd，</w:t>
            </w:r>
            <w:r>
              <w:rPr>
                <w:rFonts w:ascii="宋体" w:hAnsi="宋体"/>
                <w:szCs w:val="21"/>
              </w:rPr>
              <w:br w:type="textWrapping"/>
            </w:r>
            <w:r>
              <w:rPr>
                <w:rFonts w:ascii="宋体" w:hAnsi="宋体"/>
                <w:szCs w:val="21"/>
              </w:rPr>
              <w:t>HDD</w:t>
            </w:r>
            <w:r>
              <w:rPr>
                <w:rFonts w:hint="eastAsia" w:ascii="宋体" w:hAnsi="宋体"/>
                <w:szCs w:val="21"/>
              </w:rPr>
              <w:t>总容量≥15</w:t>
            </w:r>
            <w:r>
              <w:rPr>
                <w:rFonts w:ascii="宋体" w:hAnsi="宋体"/>
                <w:szCs w:val="21"/>
              </w:rPr>
              <w:t xml:space="preserve">TB </w:t>
            </w:r>
            <w:r>
              <w:rPr>
                <w:rFonts w:hint="eastAsia" w:ascii="宋体" w:hAnsi="宋体"/>
                <w:szCs w:val="21"/>
              </w:rPr>
              <w:t>单盘不低于1.8TB</w:t>
            </w:r>
            <w:r>
              <w:rPr>
                <w:rFonts w:ascii="宋体" w:hAnsi="宋体"/>
                <w:szCs w:val="21"/>
              </w:rPr>
              <w:t xml:space="preserve"> 12Gbps </w:t>
            </w:r>
            <w:r>
              <w:rPr>
                <w:rFonts w:hint="eastAsia" w:ascii="宋体" w:hAnsi="宋体"/>
                <w:szCs w:val="21"/>
              </w:rPr>
              <w:t xml:space="preserve">转速不低于10K </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RAID支持</w:t>
            </w:r>
          </w:p>
        </w:tc>
        <w:tc>
          <w:tcPr>
            <w:tcW w:w="6567" w:type="dxa"/>
            <w:vAlign w:val="center"/>
          </w:tcPr>
          <w:p>
            <w:pPr>
              <w:spacing w:line="0" w:lineRule="atLeast"/>
              <w:jc w:val="left"/>
              <w:rPr>
                <w:rFonts w:ascii="宋体" w:hAnsi="宋体"/>
                <w:szCs w:val="21"/>
              </w:rPr>
            </w:pPr>
            <w:r>
              <w:rPr>
                <w:rFonts w:hint="eastAsia" w:ascii="宋体" w:hAnsi="宋体"/>
                <w:szCs w:val="21"/>
              </w:rPr>
              <w:t>支持 RAID 0/1/5/</w:t>
            </w:r>
            <w:r>
              <w:rPr>
                <w:rFonts w:ascii="宋体" w:hAnsi="宋体"/>
                <w:szCs w:val="21"/>
              </w:rPr>
              <w:t>6</w:t>
            </w:r>
            <w:r>
              <w:rPr>
                <w:rFonts w:hint="eastAsia" w:ascii="宋体" w:hAnsi="宋体"/>
                <w:szCs w:val="21"/>
              </w:rPr>
              <w:t>/10/50；</w:t>
            </w:r>
            <w:r>
              <w:rPr>
                <w:rFonts w:hint="eastAsia" w:ascii="宋体" w:hAnsi="宋体" w:cs="仿宋"/>
                <w:szCs w:val="21"/>
                <w:lang w:val="zh-TW"/>
              </w:rPr>
              <w:t>支持RAID组动态扩展</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网络接口</w:t>
            </w:r>
          </w:p>
        </w:tc>
        <w:tc>
          <w:tcPr>
            <w:tcW w:w="6567" w:type="dxa"/>
            <w:vAlign w:val="center"/>
          </w:tcPr>
          <w:p>
            <w:pPr>
              <w:spacing w:line="0" w:lineRule="atLeast"/>
              <w:jc w:val="left"/>
              <w:rPr>
                <w:rFonts w:ascii="宋体" w:hAnsi="宋体"/>
                <w:szCs w:val="21"/>
              </w:rPr>
            </w:pPr>
            <w:r>
              <w:rPr>
                <w:rFonts w:hint="eastAsia" w:ascii="宋体" w:hAnsi="宋体"/>
                <w:szCs w:val="21"/>
              </w:rPr>
              <w:t>★网卡数量：≥</w:t>
            </w:r>
            <w:r>
              <w:rPr>
                <w:rFonts w:ascii="宋体" w:hAnsi="宋体"/>
                <w:szCs w:val="21"/>
              </w:rPr>
              <w:t>4</w:t>
            </w:r>
            <w:r>
              <w:rPr>
                <w:rFonts w:hint="eastAsia" w:ascii="宋体" w:hAnsi="宋体"/>
                <w:szCs w:val="21"/>
              </w:rPr>
              <w:t xml:space="preserve">个10Gb光口，HBA FC </w:t>
            </w:r>
            <w:r>
              <w:rPr>
                <w:rFonts w:ascii="宋体" w:hAnsi="宋体"/>
                <w:szCs w:val="21"/>
              </w:rPr>
              <w:t>32</w:t>
            </w:r>
            <w:r>
              <w:rPr>
                <w:rFonts w:hint="eastAsia" w:ascii="宋体" w:hAnsi="宋体"/>
                <w:szCs w:val="21"/>
              </w:rPr>
              <w:t>Gb光口≥4个（含多模模块）</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网络协议</w:t>
            </w:r>
          </w:p>
        </w:tc>
        <w:tc>
          <w:tcPr>
            <w:tcW w:w="6567" w:type="dxa"/>
            <w:vAlign w:val="center"/>
          </w:tcPr>
          <w:p>
            <w:pPr>
              <w:spacing w:line="0" w:lineRule="atLeast"/>
              <w:jc w:val="left"/>
              <w:rPr>
                <w:rFonts w:ascii="宋体" w:hAnsi="宋体"/>
                <w:szCs w:val="21"/>
              </w:rPr>
            </w:pPr>
            <w:r>
              <w:rPr>
                <w:rFonts w:hint="eastAsia" w:ascii="宋体" w:hAnsi="宋体"/>
                <w:szCs w:val="21"/>
              </w:rPr>
              <w:t>同时支持NF</w:t>
            </w:r>
            <w:r>
              <w:rPr>
                <w:rFonts w:ascii="宋体" w:hAnsi="宋体"/>
                <w:szCs w:val="21"/>
              </w:rPr>
              <w:t>S、CIFS、</w:t>
            </w:r>
            <w:r>
              <w:rPr>
                <w:rFonts w:hint="eastAsia" w:ascii="宋体" w:hAnsi="宋体"/>
                <w:szCs w:val="21"/>
              </w:rPr>
              <w:t>F</w:t>
            </w:r>
            <w:r>
              <w:rPr>
                <w:rFonts w:ascii="宋体" w:hAnsi="宋体"/>
                <w:szCs w:val="21"/>
              </w:rPr>
              <w:t>TP、</w:t>
            </w:r>
            <w:r>
              <w:rPr>
                <w:rFonts w:hint="eastAsia" w:ascii="宋体" w:hAnsi="宋体"/>
                <w:szCs w:val="21"/>
              </w:rPr>
              <w:t>H</w:t>
            </w:r>
            <w:r>
              <w:rPr>
                <w:rFonts w:ascii="宋体" w:hAnsi="宋体"/>
                <w:szCs w:val="21"/>
              </w:rPr>
              <w:t>DFS,</w:t>
            </w:r>
            <w:r>
              <w:rPr>
                <w:rFonts w:hint="eastAsia" w:ascii="宋体" w:hAnsi="宋体"/>
                <w:szCs w:val="21"/>
              </w:rPr>
              <w:t>任何情况下都不需要客户机安装任何软件或驱动程序</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66" w:type="dxa"/>
            <w:vMerge w:val="restart"/>
            <w:vAlign w:val="center"/>
          </w:tcPr>
          <w:p>
            <w:pPr>
              <w:spacing w:line="0" w:lineRule="atLeast"/>
              <w:jc w:val="left"/>
              <w:rPr>
                <w:rFonts w:ascii="宋体" w:hAnsi="宋体"/>
                <w:szCs w:val="21"/>
              </w:rPr>
            </w:pPr>
            <w:r>
              <w:rPr>
                <w:rFonts w:hint="eastAsia" w:ascii="宋体" w:hAnsi="宋体"/>
                <w:szCs w:val="21"/>
              </w:rPr>
              <w:t xml:space="preserve">实用功能 </w:t>
            </w:r>
          </w:p>
        </w:tc>
        <w:tc>
          <w:tcPr>
            <w:tcW w:w="6567" w:type="dxa"/>
            <w:vAlign w:val="center"/>
          </w:tcPr>
          <w:p>
            <w:pPr>
              <w:spacing w:line="0" w:lineRule="atLeast"/>
              <w:jc w:val="left"/>
              <w:rPr>
                <w:rFonts w:ascii="宋体" w:hAnsi="宋体"/>
                <w:szCs w:val="21"/>
              </w:rPr>
            </w:pPr>
            <w:r>
              <w:rPr>
                <w:rFonts w:hint="eastAsia" w:ascii="宋体" w:hAnsi="宋体"/>
                <w:szCs w:val="21"/>
              </w:rPr>
              <w:t>★存储快照，为不同时间点的数据创建可恢复的快照副本，故障发生后可以选择将数据恢复到相应时间点的状态，并且恢复某个时间点的快照时，其他时间点快照不丢失</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★在线扩容，添加硬盘、添加扩展柜、固件升级等均可以在数据运行的条件下进行，无需停机</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精简配置，分配空间后不会马上占用磁盘容量，按实际使用量占用，可提高存储空间利用率</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支持重删功能，提升空间的有效利用率（</w:t>
            </w:r>
            <w:r>
              <w:rPr>
                <w:rFonts w:hint="eastAsia" w:ascii="等线" w:hAnsi="等线" w:eastAsia="等线" w:cs="宋体"/>
                <w:kern w:val="0"/>
                <w:szCs w:val="21"/>
              </w:rPr>
              <w:t>但暂时不需要配置授权</w:t>
            </w:r>
            <w:r>
              <w:rPr>
                <w:rFonts w:hint="eastAsia" w:ascii="宋体" w:hAnsi="宋体"/>
                <w:szCs w:val="21"/>
              </w:rPr>
              <w:t>）</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★数据自动分层功能，可实现多层数据分层，系统自动将动态热点数据提升至高速SSD盘中，以解决动态数据热点的性能问题，实现热点数据的加速，配置全容量许可后续扩容无需额外购买许可</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★支持基于存储产品自身的同步和异步复制功能，基于FC、Lan接口的同步复制功能，达到秒级复制，基于FC链路复制。</w:t>
            </w:r>
            <w:r>
              <w:rPr>
                <w:rFonts w:hint="eastAsia" w:ascii="宋体" w:hAnsi="宋体"/>
                <w:b/>
                <w:bCs/>
                <w:szCs w:val="21"/>
              </w:rPr>
              <w:t>本次招标远程复制使用永久许可(SAN与NAS共用)</w:t>
            </w:r>
            <w:r>
              <w:rPr>
                <w:rFonts w:ascii="宋体" w:hAnsi="宋体"/>
                <w:b/>
                <w:bCs/>
                <w:szCs w:val="21"/>
              </w:rPr>
              <w:t>2</w:t>
            </w:r>
            <w:r>
              <w:rPr>
                <w:rFonts w:hint="eastAsia" w:ascii="宋体" w:hAnsi="宋体"/>
                <w:b/>
                <w:bCs/>
                <w:szCs w:val="21"/>
              </w:rPr>
              <w:t>个。</w:t>
            </w:r>
            <w:r>
              <w:rPr>
                <w:rFonts w:hint="eastAsia" w:ascii="宋体" w:hAnsi="宋体"/>
                <w:szCs w:val="21"/>
              </w:rPr>
              <w:t>其中</w:t>
            </w:r>
            <w:r>
              <w:rPr>
                <w:rFonts w:ascii="宋体" w:hAnsi="宋体"/>
                <w:szCs w:val="21"/>
              </w:rPr>
              <w:t>1</w:t>
            </w:r>
            <w:r>
              <w:rPr>
                <w:rFonts w:hint="eastAsia" w:ascii="宋体" w:hAnsi="宋体"/>
                <w:szCs w:val="21"/>
              </w:rPr>
              <w:t>套用于之前同系列存储柜。</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366" w:type="dxa"/>
            <w:vMerge w:val="continue"/>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★存储双活功能，在不加额外网关的情况下可以实现同厂商存储组成双活阵列，在一台阵列故障的情况下，主机IO访问可以无缝切换到另外一台阵列而不会中断业务。</w:t>
            </w:r>
            <w:r>
              <w:rPr>
                <w:rFonts w:hint="eastAsia" w:ascii="宋体" w:hAnsi="宋体"/>
                <w:b/>
                <w:bCs/>
                <w:szCs w:val="21"/>
              </w:rPr>
              <w:t>本次招标阵列双活使用永久许可(SAN与NAS共用)</w:t>
            </w:r>
            <w:r>
              <w:rPr>
                <w:rFonts w:ascii="宋体" w:hAnsi="宋体"/>
                <w:b/>
                <w:bCs/>
                <w:szCs w:val="21"/>
              </w:rPr>
              <w:t>4</w:t>
            </w:r>
            <w:r>
              <w:rPr>
                <w:rFonts w:hint="eastAsia" w:ascii="宋体" w:hAnsi="宋体"/>
                <w:b/>
                <w:bCs/>
                <w:szCs w:val="21"/>
              </w:rPr>
              <w:t>个。</w:t>
            </w:r>
            <w:r>
              <w:rPr>
                <w:rFonts w:hint="eastAsia" w:ascii="宋体" w:hAnsi="宋体"/>
                <w:szCs w:val="21"/>
              </w:rPr>
              <w:t>其中3套用于之前同系列存储柜。</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电源模块</w:t>
            </w:r>
          </w:p>
        </w:tc>
        <w:tc>
          <w:tcPr>
            <w:tcW w:w="6567" w:type="dxa"/>
            <w:vAlign w:val="center"/>
          </w:tcPr>
          <w:p>
            <w:pPr>
              <w:spacing w:line="0" w:lineRule="atLeast"/>
              <w:jc w:val="left"/>
              <w:rPr>
                <w:rFonts w:ascii="宋体" w:hAnsi="宋体"/>
                <w:szCs w:val="21"/>
              </w:rPr>
            </w:pPr>
            <w:r>
              <w:rPr>
                <w:rFonts w:hint="eastAsia" w:ascii="宋体" w:hAnsi="宋体"/>
                <w:szCs w:val="21"/>
              </w:rPr>
              <w:t xml:space="preserve">双路冗余热插拔电源数量≥2个，并提供配套的电源连接线 </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管理功能</w:t>
            </w:r>
          </w:p>
        </w:tc>
        <w:tc>
          <w:tcPr>
            <w:tcW w:w="6567" w:type="dxa"/>
            <w:vAlign w:val="center"/>
          </w:tcPr>
          <w:p>
            <w:pPr>
              <w:spacing w:line="0" w:lineRule="atLeast"/>
              <w:jc w:val="left"/>
              <w:rPr>
                <w:rFonts w:ascii="宋体" w:hAnsi="宋体"/>
                <w:szCs w:val="21"/>
              </w:rPr>
            </w:pPr>
            <w:r>
              <w:rPr>
                <w:rFonts w:hint="eastAsia" w:ascii="宋体" w:hAnsi="宋体"/>
                <w:szCs w:val="21"/>
              </w:rPr>
              <w:t>支持远程管理控制，配置中文图形化管理软件，实现</w:t>
            </w:r>
            <w:r>
              <w:rPr>
                <w:rFonts w:hint="eastAsia"/>
              </w:rPr>
              <w:t>性能监控和分析、</w:t>
            </w:r>
            <w:r>
              <w:rPr>
                <w:rFonts w:hint="eastAsia" w:ascii="宋体" w:hAnsi="宋体"/>
                <w:szCs w:val="21"/>
              </w:rPr>
              <w:t>存储、服务器、网络统一管理</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保修售后</w:t>
            </w:r>
          </w:p>
        </w:tc>
        <w:tc>
          <w:tcPr>
            <w:tcW w:w="6567" w:type="dxa"/>
            <w:vAlign w:val="center"/>
          </w:tcPr>
          <w:p>
            <w:pPr>
              <w:spacing w:line="0" w:lineRule="atLeast"/>
              <w:jc w:val="left"/>
              <w:rPr>
                <w:rFonts w:ascii="宋体" w:hAnsi="宋体"/>
                <w:szCs w:val="21"/>
              </w:rPr>
            </w:pPr>
            <w:r>
              <w:rPr>
                <w:rFonts w:hint="eastAsia" w:ascii="宋体" w:hAnsi="宋体"/>
                <w:szCs w:val="21"/>
              </w:rPr>
              <w:t>硬件原厂</w:t>
            </w:r>
            <w:r>
              <w:rPr>
                <w:rFonts w:hint="eastAsia" w:ascii="宋体" w:hAnsi="宋体"/>
                <w:b/>
                <w:bCs/>
                <w:szCs w:val="21"/>
              </w:rPr>
              <w:t>三年保修，7x</w:t>
            </w:r>
            <w:r>
              <w:rPr>
                <w:rFonts w:ascii="宋体" w:hAnsi="宋体"/>
                <w:b/>
                <w:bCs/>
                <w:szCs w:val="21"/>
              </w:rPr>
              <w:t>24</w:t>
            </w:r>
            <w:r>
              <w:rPr>
                <w:rFonts w:hint="eastAsia" w:ascii="宋体" w:hAnsi="宋体"/>
                <w:b/>
                <w:bCs/>
                <w:szCs w:val="21"/>
              </w:rPr>
              <w:t>x4</w:t>
            </w:r>
            <w:r>
              <w:rPr>
                <w:rFonts w:ascii="宋体" w:hAnsi="宋体"/>
                <w:b/>
                <w:bCs/>
                <w:szCs w:val="21"/>
              </w:rPr>
              <w:t xml:space="preserve"> </w:t>
            </w:r>
            <w:r>
              <w:rPr>
                <w:rFonts w:hint="eastAsia" w:ascii="宋体" w:hAnsi="宋体"/>
                <w:b/>
                <w:bCs/>
                <w:szCs w:val="21"/>
              </w:rPr>
              <w:t>原厂工程师带备件</w:t>
            </w:r>
            <w:r>
              <w:rPr>
                <w:rFonts w:hint="eastAsia" w:ascii="宋体" w:hAnsi="宋体"/>
                <w:szCs w:val="21"/>
              </w:rPr>
              <w:t>上门现场支持服务</w:t>
            </w:r>
            <w:r>
              <w:rPr>
                <w:rFonts w:ascii="宋体" w:hAnsi="宋体"/>
                <w:szCs w:val="21"/>
              </w:rPr>
              <w:br w:type="textWrapping"/>
            </w:r>
            <w:r>
              <w:rPr>
                <w:rFonts w:hint="eastAsia" w:ascii="宋体" w:hAnsi="宋体"/>
                <w:szCs w:val="21"/>
              </w:rPr>
              <w:t>（厂家授权函原件）</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Align w:val="center"/>
          </w:tcPr>
          <w:p>
            <w:pPr>
              <w:spacing w:line="0" w:lineRule="atLeast"/>
              <w:jc w:val="left"/>
              <w:rPr>
                <w:rFonts w:ascii="宋体" w:hAnsi="宋体"/>
                <w:szCs w:val="21"/>
              </w:rPr>
            </w:pPr>
            <w:r>
              <w:rPr>
                <w:rFonts w:hint="eastAsia" w:ascii="宋体" w:hAnsi="宋体"/>
                <w:szCs w:val="21"/>
              </w:rPr>
              <w:t>其它要求</w:t>
            </w:r>
          </w:p>
        </w:tc>
        <w:tc>
          <w:tcPr>
            <w:tcW w:w="6567" w:type="dxa"/>
            <w:vAlign w:val="center"/>
          </w:tcPr>
          <w:p>
            <w:pPr>
              <w:spacing w:line="0" w:lineRule="atLeast"/>
              <w:jc w:val="left"/>
              <w:rPr>
                <w:rFonts w:ascii="宋体" w:hAnsi="宋体"/>
                <w:szCs w:val="21"/>
              </w:rPr>
            </w:pPr>
            <w:r>
              <w:rPr>
                <w:rFonts w:hint="eastAsia" w:ascii="宋体" w:hAnsi="宋体"/>
                <w:szCs w:val="21"/>
              </w:rPr>
              <w:t>标配导轨*1、理线架*1</w:t>
            </w:r>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bookmarkStart w:id="146" w:name="_Hlk51658617"/>
            <w:r>
              <w:rPr>
                <w:rFonts w:hint="eastAsia" w:ascii="宋体" w:hAnsi="宋体"/>
                <w:szCs w:val="21"/>
              </w:rPr>
              <w:t>★注： 由于第一批存储柜采购已选择华为存储柜，为确保能顺利组建双活集群，本次</w:t>
            </w:r>
            <w:r>
              <w:rPr>
                <w:rFonts w:hint="eastAsia" w:ascii="宋体" w:hAnsi="宋体"/>
                <w:b/>
                <w:bCs/>
                <w:szCs w:val="21"/>
              </w:rPr>
              <w:t>专用存储柜</w:t>
            </w:r>
            <w:r>
              <w:rPr>
                <w:rFonts w:hint="eastAsia" w:ascii="宋体" w:hAnsi="宋体"/>
                <w:b/>
                <w:bCs/>
                <w:color w:val="FF0000"/>
                <w:szCs w:val="21"/>
              </w:rPr>
              <w:t>只能</w:t>
            </w:r>
            <w:r>
              <w:rPr>
                <w:rFonts w:hint="eastAsia" w:ascii="宋体" w:hAnsi="宋体"/>
                <w:b/>
                <w:bCs/>
                <w:szCs w:val="21"/>
              </w:rPr>
              <w:t>选择华为</w:t>
            </w:r>
            <w:r>
              <w:rPr>
                <w:rFonts w:hint="eastAsia" w:ascii="宋体" w:hAnsi="宋体"/>
                <w:szCs w:val="21"/>
              </w:rPr>
              <w:t>存储柜。 如果选择其它专用存储柜，视为弃标。</w:t>
            </w:r>
            <w:bookmarkEnd w:id="146"/>
          </w:p>
        </w:tc>
        <w:tc>
          <w:tcPr>
            <w:tcW w:w="1424" w:type="dxa"/>
            <w:vAlign w:val="center"/>
          </w:tcPr>
          <w:p>
            <w:pPr>
              <w:spacing w:line="0" w:lineRule="atLeas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6" w:type="dxa"/>
            <w:vAlign w:val="center"/>
          </w:tcPr>
          <w:p>
            <w:pPr>
              <w:spacing w:line="0" w:lineRule="atLeast"/>
              <w:jc w:val="left"/>
              <w:rPr>
                <w:rFonts w:ascii="宋体" w:hAnsi="宋体"/>
                <w:szCs w:val="21"/>
              </w:rPr>
            </w:pPr>
          </w:p>
        </w:tc>
        <w:tc>
          <w:tcPr>
            <w:tcW w:w="6567" w:type="dxa"/>
            <w:vAlign w:val="center"/>
          </w:tcPr>
          <w:p>
            <w:pPr>
              <w:spacing w:line="0" w:lineRule="atLeast"/>
              <w:jc w:val="left"/>
              <w:rPr>
                <w:rFonts w:ascii="宋体" w:hAnsi="宋体"/>
                <w:szCs w:val="21"/>
              </w:rPr>
            </w:pPr>
            <w:r>
              <w:rPr>
                <w:rFonts w:hint="eastAsia" w:ascii="宋体" w:hAnsi="宋体"/>
                <w:szCs w:val="21"/>
              </w:rPr>
              <w:t>对标的存储柜型号为华为的</w:t>
            </w:r>
            <w:r>
              <w:rPr>
                <w:rFonts w:ascii="宋体" w:hAnsi="宋体"/>
                <w:b/>
                <w:bCs/>
                <w:szCs w:val="21"/>
              </w:rPr>
              <w:t>OceanStor 5210 V5</w:t>
            </w:r>
            <w:r>
              <w:rPr>
                <w:rFonts w:hint="eastAsia" w:ascii="宋体" w:hAnsi="宋体"/>
                <w:b/>
                <w:bCs/>
                <w:szCs w:val="21"/>
              </w:rPr>
              <w:t>。</w:t>
            </w:r>
          </w:p>
        </w:tc>
        <w:tc>
          <w:tcPr>
            <w:tcW w:w="1424" w:type="dxa"/>
            <w:vAlign w:val="center"/>
          </w:tcPr>
          <w:p>
            <w:pPr>
              <w:spacing w:line="0" w:lineRule="atLeast"/>
              <w:jc w:val="left"/>
              <w:rPr>
                <w:rFonts w:ascii="宋体" w:hAnsi="宋体"/>
                <w:szCs w:val="21"/>
              </w:rPr>
            </w:pPr>
          </w:p>
        </w:tc>
      </w:tr>
    </w:tbl>
    <w:p>
      <w:pPr>
        <w:pStyle w:val="2"/>
        <w:rPr>
          <w:rFonts w:hAnsi="宋体"/>
          <w:b/>
          <w:bCs/>
          <w:sz w:val="24"/>
          <w:szCs w:val="24"/>
        </w:rPr>
      </w:pPr>
      <w:r>
        <w:rPr>
          <w:rFonts w:hAnsi="宋体"/>
          <w:b/>
          <w:bCs/>
          <w:sz w:val="24"/>
          <w:szCs w:val="24"/>
        </w:rPr>
        <w:br w:type="page"/>
      </w:r>
    </w:p>
    <w:p>
      <w:pPr>
        <w:pStyle w:val="2"/>
        <w:rPr>
          <w:rFonts w:hAnsi="宋体"/>
          <w:b/>
          <w:bCs/>
          <w:sz w:val="24"/>
          <w:szCs w:val="24"/>
        </w:rPr>
      </w:pPr>
    </w:p>
    <w:p>
      <w:pPr>
        <w:pStyle w:val="17"/>
        <w:numPr>
          <w:ilvl w:val="1"/>
          <w:numId w:val="50"/>
        </w:numPr>
        <w:tabs>
          <w:tab w:val="left" w:pos="0"/>
        </w:tabs>
        <w:ind w:left="-2" w:leftChars="-1"/>
        <w:outlineLvl w:val="2"/>
        <w:rPr>
          <w:rFonts w:hAnsi="宋体"/>
          <w:sz w:val="24"/>
          <w:szCs w:val="24"/>
        </w:rPr>
      </w:pPr>
      <w:bookmarkStart w:id="147" w:name="_Toc41268264"/>
      <w:bookmarkStart w:id="148" w:name="_Toc52888962"/>
      <w:bookmarkStart w:id="149" w:name="_Toc25860386"/>
      <w:bookmarkStart w:id="150" w:name="_Toc19637"/>
      <w:bookmarkStart w:id="151" w:name="_Toc20177"/>
      <w:bookmarkStart w:id="152" w:name="_Toc23259185"/>
      <w:bookmarkStart w:id="153" w:name="_Toc23259385"/>
      <w:r>
        <w:rPr>
          <w:rFonts w:hint="eastAsia" w:ascii="宋体" w:hAnsi="宋体"/>
          <w:color w:val="000000"/>
          <w:sz w:val="24"/>
          <w:szCs w:val="24"/>
        </w:rPr>
        <w:t>备份</w:t>
      </w:r>
      <w:bookmarkEnd w:id="147"/>
      <w:r>
        <w:rPr>
          <w:rFonts w:hint="eastAsia" w:ascii="宋体" w:hAnsi="宋体"/>
          <w:color w:val="000000"/>
          <w:sz w:val="24"/>
          <w:szCs w:val="24"/>
        </w:rPr>
        <w:t>系统（</w:t>
      </w:r>
      <w:r>
        <w:rPr>
          <w:rFonts w:ascii="宋体" w:hAnsi="宋体"/>
          <w:color w:val="000000"/>
          <w:sz w:val="24"/>
          <w:szCs w:val="24"/>
        </w:rPr>
        <w:t>1</w:t>
      </w:r>
      <w:r>
        <w:rPr>
          <w:rFonts w:hint="eastAsia" w:ascii="宋体" w:hAnsi="宋体"/>
          <w:color w:val="000000"/>
          <w:sz w:val="24"/>
          <w:szCs w:val="24"/>
        </w:rPr>
        <w:t>套）</w:t>
      </w:r>
      <w:bookmarkEnd w:id="148"/>
    </w:p>
    <w:p>
      <w:pPr>
        <w:pStyle w:val="2"/>
        <w:rPr>
          <w:rFonts w:hAnsi="宋体"/>
          <w:szCs w:val="21"/>
        </w:rPr>
      </w:pPr>
    </w:p>
    <w:tbl>
      <w:tblPr>
        <w:tblStyle w:val="21"/>
        <w:tblW w:w="9235" w:type="dxa"/>
        <w:jc w:val="center"/>
        <w:tblLayout w:type="autofit"/>
        <w:tblCellMar>
          <w:top w:w="0" w:type="dxa"/>
          <w:left w:w="108" w:type="dxa"/>
          <w:bottom w:w="0" w:type="dxa"/>
          <w:right w:w="108" w:type="dxa"/>
        </w:tblCellMar>
      </w:tblPr>
      <w:tblGrid>
        <w:gridCol w:w="774"/>
        <w:gridCol w:w="1266"/>
        <w:gridCol w:w="5769"/>
        <w:gridCol w:w="1426"/>
      </w:tblGrid>
      <w:tr>
        <w:tblPrEx>
          <w:tblCellMar>
            <w:top w:w="0" w:type="dxa"/>
            <w:left w:w="108" w:type="dxa"/>
            <w:bottom w:w="0" w:type="dxa"/>
            <w:right w:w="108" w:type="dxa"/>
          </w:tblCellMar>
        </w:tblPrEx>
        <w:trPr>
          <w:trHeight w:val="582" w:hRule="atLeast"/>
          <w:jc w:val="center"/>
        </w:trPr>
        <w:tc>
          <w:tcPr>
            <w:tcW w:w="778" w:type="dxa"/>
            <w:tcBorders>
              <w:top w:val="single" w:color="auto" w:sz="4" w:space="0"/>
              <w:left w:val="nil"/>
              <w:bottom w:val="single" w:color="auto" w:sz="4" w:space="0"/>
              <w:right w:val="single" w:color="auto" w:sz="4" w:space="0"/>
            </w:tcBorders>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项目名称 </w:t>
            </w:r>
          </w:p>
        </w:tc>
        <w:tc>
          <w:tcPr>
            <w:tcW w:w="1207" w:type="dxa"/>
            <w:tcBorders>
              <w:top w:val="single" w:color="auto" w:sz="4" w:space="0"/>
              <w:left w:val="nil"/>
              <w:bottom w:val="single" w:color="auto" w:sz="4" w:space="0"/>
              <w:right w:val="single" w:color="auto" w:sz="4" w:space="0"/>
            </w:tcBorders>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指标名称</w:t>
            </w:r>
          </w:p>
        </w:tc>
        <w:tc>
          <w:tcPr>
            <w:tcW w:w="5812" w:type="dxa"/>
            <w:tcBorders>
              <w:top w:val="single" w:color="auto" w:sz="4" w:space="0"/>
              <w:left w:val="nil"/>
              <w:bottom w:val="single" w:color="auto" w:sz="4" w:space="0"/>
              <w:right w:val="single" w:color="auto" w:sz="4" w:space="0"/>
            </w:tcBorders>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1438" w:type="dxa"/>
            <w:tcBorders>
              <w:top w:val="single" w:color="auto" w:sz="4" w:space="0"/>
              <w:left w:val="nil"/>
              <w:bottom w:val="single" w:color="auto" w:sz="4" w:space="0"/>
              <w:right w:val="single" w:color="auto" w:sz="4" w:space="0"/>
            </w:tcBorders>
            <w:shd w:val="clear" w:color="000000" w:fill="CCFFFF"/>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投标方响应情况说明</w:t>
            </w:r>
          </w:p>
        </w:tc>
      </w:tr>
      <w:tr>
        <w:tblPrEx>
          <w:tblCellMar>
            <w:top w:w="0" w:type="dxa"/>
            <w:left w:w="108" w:type="dxa"/>
            <w:bottom w:w="0" w:type="dxa"/>
            <w:right w:w="108" w:type="dxa"/>
          </w:tblCellMar>
        </w:tblPrEx>
        <w:trPr>
          <w:trHeight w:val="283" w:hRule="atLeast"/>
          <w:jc w:val="center"/>
        </w:trPr>
        <w:tc>
          <w:tcPr>
            <w:tcW w:w="77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备份服务器硬件</w:t>
            </w: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设备类型</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机架式服务器</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498"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★CPU</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配置≥</w:t>
            </w:r>
            <w:r>
              <w:rPr>
                <w:rFonts w:ascii="宋体" w:hAnsi="宋体" w:cs="宋体"/>
                <w:color w:val="000000"/>
                <w:kern w:val="0"/>
                <w:szCs w:val="21"/>
              </w:rPr>
              <w:t>2</w:t>
            </w:r>
            <w:r>
              <w:rPr>
                <w:rFonts w:hint="eastAsia" w:ascii="宋体" w:hAnsi="宋体" w:cs="宋体"/>
                <w:color w:val="000000"/>
                <w:kern w:val="0"/>
                <w:szCs w:val="21"/>
              </w:rPr>
              <w:t>颗至强可扩展处理器；主频≥2.</w:t>
            </w:r>
            <w:r>
              <w:rPr>
                <w:rFonts w:ascii="宋体" w:hAnsi="宋体" w:cs="宋体"/>
                <w:color w:val="000000"/>
                <w:kern w:val="0"/>
                <w:szCs w:val="21"/>
              </w:rPr>
              <w:t>1</w:t>
            </w:r>
            <w:r>
              <w:rPr>
                <w:rFonts w:hint="eastAsia" w:ascii="宋体" w:hAnsi="宋体" w:cs="宋体"/>
                <w:color w:val="000000"/>
                <w:kern w:val="0"/>
                <w:szCs w:val="21"/>
              </w:rPr>
              <w:t>G HZ，每cpu≥ </w:t>
            </w:r>
            <w:r>
              <w:rPr>
                <w:rFonts w:ascii="宋体" w:hAnsi="宋体" w:cs="宋体"/>
                <w:color w:val="000000"/>
                <w:kern w:val="0"/>
                <w:szCs w:val="21"/>
              </w:rPr>
              <w:t>8</w:t>
            </w:r>
            <w:r>
              <w:rPr>
                <w:rFonts w:hint="eastAsia" w:ascii="宋体" w:hAnsi="宋体" w:cs="宋体"/>
                <w:color w:val="000000"/>
                <w:kern w:val="0"/>
                <w:szCs w:val="21"/>
              </w:rPr>
              <w:t>物理核；</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★内存</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内存：配置≥</w:t>
            </w:r>
            <w:r>
              <w:rPr>
                <w:rFonts w:ascii="宋体" w:hAnsi="宋体" w:cs="宋体"/>
                <w:color w:val="000000"/>
                <w:kern w:val="0"/>
                <w:szCs w:val="21"/>
              </w:rPr>
              <w:t>128</w:t>
            </w:r>
            <w:r>
              <w:rPr>
                <w:rFonts w:hint="eastAsia" w:ascii="宋体" w:hAnsi="宋体" w:cs="宋体"/>
                <w:color w:val="000000"/>
                <w:kern w:val="0"/>
                <w:szCs w:val="21"/>
              </w:rPr>
              <w:t>G，内存插槽≥24个</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vMerge w:val="restart"/>
            <w:tcBorders>
              <w:top w:val="nil"/>
              <w:left w:val="nil"/>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硬盘</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szCs w:val="21"/>
              </w:rPr>
            </w:pPr>
            <w:r>
              <w:rPr>
                <w:rFonts w:hint="eastAsia" w:ascii="宋体" w:hAnsi="宋体" w:cs="宋体"/>
                <w:color w:val="000000"/>
                <w:kern w:val="0"/>
                <w:szCs w:val="21"/>
              </w:rPr>
              <w:t>★实际配置容量：有效可用容量≥80TB；</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要求采用Raid6硬盘保护机制，同一RAID组在同一时间可以允许任意2块磁盘失效而不丢失数据，且至少1块热备磁盘；配置RAID控制器，操作系统和数据存储空间分别在不同的RAID组；</w:t>
            </w:r>
          </w:p>
        </w:tc>
        <w:tc>
          <w:tcPr>
            <w:tcW w:w="1438" w:type="dxa"/>
            <w:tcBorders>
              <w:top w:val="nil"/>
              <w:left w:val="nil"/>
              <w:bottom w:val="single" w:color="auto" w:sz="4" w:space="0"/>
              <w:right w:val="single" w:color="auto" w:sz="4" w:space="0"/>
            </w:tcBorders>
          </w:tcPr>
          <w:p>
            <w:pPr>
              <w:widowControl/>
              <w:rPr>
                <w:rFonts w:ascii="宋体" w:hAnsi="宋体"/>
                <w:szCs w:val="21"/>
              </w:rPr>
            </w:pPr>
          </w:p>
        </w:tc>
      </w:tr>
      <w:tr>
        <w:tblPrEx>
          <w:tblCellMar>
            <w:top w:w="0" w:type="dxa"/>
            <w:left w:w="108" w:type="dxa"/>
            <w:bottom w:w="0" w:type="dxa"/>
            <w:right w:w="108" w:type="dxa"/>
          </w:tblCellMar>
        </w:tblPrEx>
        <w:trPr>
          <w:trHeight w:val="498"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★网卡</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配置≥2*1GE千兆网口，≥4*10GE万兆网口(含光模块)</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498"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风扇、电源</w:t>
            </w:r>
            <w:r>
              <w:rPr>
                <w:rFonts w:hint="eastAsia" w:ascii="宋体" w:hAnsi="宋体" w:cs="宋体"/>
                <w:color w:val="000000"/>
                <w:kern w:val="0"/>
                <w:szCs w:val="21"/>
              </w:rPr>
              <w:tab/>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双冗余、热插拔电源和风扇</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vMerge w:val="restart"/>
            <w:tcBorders>
              <w:top w:val="nil"/>
              <w:left w:val="nil"/>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其它</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支持中文BIOS界面，提供官网链接及对应官网中文界面截图</w:t>
            </w:r>
            <w:r>
              <w:rPr>
                <w:rFonts w:hint="eastAsia" w:ascii="宋体" w:hAnsi="宋体" w:cs="宋体"/>
                <w:kern w:val="0"/>
                <w:szCs w:val="21"/>
              </w:rPr>
              <w:t>加盖原厂公章。</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498"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vMerge w:val="continue"/>
            <w:tcBorders>
              <w:left w:val="nil"/>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服务器厂商具备权威机构颁发的ISO28000体系证书，提供证书证明</w:t>
            </w:r>
            <w:r>
              <w:rPr>
                <w:rFonts w:hint="eastAsia" w:ascii="宋体" w:hAnsi="宋体" w:cs="宋体"/>
                <w:kern w:val="0"/>
                <w:szCs w:val="21"/>
              </w:rPr>
              <w:t>加盖原厂公章。</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498"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投标机型在官方网站中文资料齐全，包含中文版（产品彩页、规格白皮书、兼容性列表、用户指南、安装升级指南等）</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服务</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原厂3年维保服务</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restart"/>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备份软件要求</w:t>
            </w:r>
          </w:p>
        </w:tc>
        <w:tc>
          <w:tcPr>
            <w:tcW w:w="1207" w:type="dxa"/>
            <w:vMerge w:val="restart"/>
            <w:tcBorders>
              <w:top w:val="single" w:color="auto" w:sz="4" w:space="0"/>
              <w:left w:val="nil"/>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基本要求</w:t>
            </w:r>
          </w:p>
        </w:tc>
        <w:tc>
          <w:tcPr>
            <w:tcW w:w="581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hint="eastAsia" w:ascii="宋体" w:hAnsi="宋体" w:cs="宋体"/>
                <w:color w:val="000000"/>
                <w:kern w:val="0"/>
                <w:szCs w:val="21"/>
              </w:rPr>
              <w:tab/>
            </w:r>
            <w:r>
              <w:rPr>
                <w:rFonts w:hint="eastAsia" w:ascii="宋体" w:hAnsi="宋体" w:cs="宋体"/>
                <w:color w:val="000000"/>
                <w:kern w:val="0"/>
                <w:szCs w:val="21"/>
              </w:rPr>
              <w:t>提供集中统一的备份管理平台，实现多云环境、物理环境、虚拟环境等多种混合环境的统一备份管理，支持主流Linux/Windows平台上的文件、操作系统及各主流数据库的在线备份，支持各种主流的备份存储设备。永久许可，最终用户名为“广东兴发铝业有限公司”</w:t>
            </w:r>
          </w:p>
        </w:tc>
        <w:tc>
          <w:tcPr>
            <w:tcW w:w="1438"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top w:val="single" w:color="auto" w:sz="4" w:space="0"/>
              <w:left w:val="single" w:color="auto" w:sz="4" w:space="0"/>
              <w:right w:val="single" w:color="auto" w:sz="4" w:space="0"/>
            </w:tcBorders>
            <w:vAlign w:val="center"/>
          </w:tcPr>
          <w:p>
            <w:pPr>
              <w:widowControl/>
              <w:jc w:val="center"/>
              <w:rPr>
                <w:rFonts w:ascii="宋体" w:hAnsi="宋体" w:cs="宋体"/>
                <w:color w:val="000000"/>
                <w:kern w:val="0"/>
                <w:szCs w:val="21"/>
              </w:rPr>
            </w:pPr>
          </w:p>
        </w:tc>
        <w:tc>
          <w:tcPr>
            <w:tcW w:w="120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中文管理操作界面，软件安装配置应简单容易；具备简便、直观和友好的图形操作管理界面，备份/恢复有图形进度显示；能满足分布网络集中式管理的需求；</w:t>
            </w:r>
          </w:p>
        </w:tc>
        <w:tc>
          <w:tcPr>
            <w:tcW w:w="1438"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★授权配置</w:t>
            </w:r>
          </w:p>
        </w:tc>
        <w:tc>
          <w:tcPr>
            <w:tcW w:w="5812" w:type="dxa"/>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b/>
                <w:bCs/>
                <w:color w:val="000000"/>
                <w:kern w:val="0"/>
                <w:szCs w:val="21"/>
              </w:rPr>
              <w:t>授权方式有按源端数量或目标端容量计算，二选一应标：</w:t>
            </w:r>
          </w:p>
          <w:p>
            <w:pPr>
              <w:widowControl/>
              <w:rPr>
                <w:rFonts w:ascii="宋体" w:hAnsi="宋体" w:cs="宋体"/>
                <w:color w:val="000000"/>
                <w:kern w:val="0"/>
                <w:szCs w:val="21"/>
              </w:rPr>
            </w:pPr>
            <w:r>
              <w:rPr>
                <w:rFonts w:ascii="宋体" w:hAnsi="宋体" w:cs="宋体"/>
                <w:color w:val="000000"/>
                <w:kern w:val="0"/>
                <w:szCs w:val="21"/>
              </w:rPr>
              <w:t></w:t>
            </w:r>
            <w:r>
              <w:rPr>
                <w:rFonts w:hint="eastAsia" w:ascii="宋体" w:hAnsi="宋体" w:cs="宋体"/>
                <w:b/>
                <w:bCs/>
                <w:color w:val="000000"/>
                <w:kern w:val="0"/>
                <w:szCs w:val="21"/>
              </w:rPr>
              <w:t>一、按容量授权：</w:t>
            </w:r>
            <w:r>
              <w:rPr>
                <w:rFonts w:ascii="宋体" w:hAnsi="宋体" w:cs="宋体"/>
                <w:color w:val="000000"/>
                <w:kern w:val="0"/>
                <w:szCs w:val="21"/>
              </w:rPr>
              <w:br w:type="textWrapping"/>
            </w:r>
            <w:r>
              <w:rPr>
                <w:rFonts w:hint="eastAsia" w:ascii="宋体" w:hAnsi="宋体" w:cs="宋体"/>
                <w:color w:val="000000"/>
                <w:kern w:val="0"/>
                <w:szCs w:val="21"/>
              </w:rPr>
              <w:t>配置</w:t>
            </w:r>
            <w:r>
              <w:rPr>
                <w:rFonts w:ascii="宋体" w:hAnsi="宋体" w:cs="宋体"/>
                <w:color w:val="000000"/>
                <w:kern w:val="0"/>
                <w:szCs w:val="21"/>
              </w:rPr>
              <w:t>80</w:t>
            </w:r>
            <w:r>
              <w:rPr>
                <w:rFonts w:hint="eastAsia" w:ascii="宋体" w:hAnsi="宋体" w:cs="宋体"/>
                <w:color w:val="000000"/>
                <w:kern w:val="0"/>
                <w:szCs w:val="21"/>
              </w:rPr>
              <w:t>TB容量的重复数据删除及永久增量备份功能使用许可，不限源端形式和数量。</w:t>
            </w:r>
          </w:p>
          <w:p>
            <w:pPr>
              <w:pStyle w:val="2"/>
              <w:rPr>
                <w:rFonts w:hAnsi="宋体"/>
                <w:b/>
                <w:bCs/>
                <w:szCs w:val="21"/>
              </w:rPr>
            </w:pPr>
            <w:r>
              <w:rPr>
                <w:rFonts w:hint="eastAsia" w:hAnsi="宋体"/>
                <w:b/>
                <w:bCs/>
                <w:szCs w:val="21"/>
              </w:rPr>
              <w:t>二、按源端授权：</w:t>
            </w:r>
          </w:p>
          <w:p>
            <w:pPr>
              <w:widowControl/>
              <w:rPr>
                <w:rFonts w:ascii="宋体" w:hAnsi="宋体" w:cs="宋体"/>
                <w:color w:val="000000"/>
                <w:kern w:val="0"/>
                <w:szCs w:val="21"/>
              </w:rPr>
            </w:pPr>
            <w:r>
              <w:rPr>
                <w:rFonts w:ascii="宋体" w:hAnsi="宋体" w:cs="宋体"/>
                <w:color w:val="000000"/>
                <w:kern w:val="0"/>
                <w:szCs w:val="21"/>
              </w:rPr>
              <w:t>1</w:t>
            </w:r>
            <w:r>
              <w:rPr>
                <w:rFonts w:hint="eastAsia" w:ascii="宋体" w:hAnsi="宋体" w:cs="宋体"/>
                <w:color w:val="000000"/>
                <w:kern w:val="0"/>
                <w:szCs w:val="21"/>
              </w:rPr>
              <w:t>个管理控制台许可，不限部署管理服务器端数量；</w:t>
            </w:r>
            <w:bookmarkStart w:id="154" w:name="_Hlk52806429"/>
            <w:r>
              <w:rPr>
                <w:rFonts w:ascii="宋体" w:hAnsi="宋体" w:cs="宋体"/>
                <w:color w:val="000000"/>
                <w:kern w:val="0"/>
                <w:szCs w:val="21"/>
              </w:rPr>
              <w:tab/>
            </w:r>
            <w:r>
              <w:rPr>
                <w:rFonts w:ascii="宋体" w:hAnsi="宋体" w:cs="宋体"/>
                <w:color w:val="000000"/>
                <w:kern w:val="0"/>
                <w:szCs w:val="21"/>
              </w:rPr>
              <w:t>20</w:t>
            </w:r>
            <w:r>
              <w:rPr>
                <w:rFonts w:hint="eastAsia" w:ascii="宋体" w:hAnsi="宋体" w:cs="宋体"/>
                <w:color w:val="000000"/>
                <w:kern w:val="0"/>
                <w:szCs w:val="21"/>
              </w:rPr>
              <w:t>个客户端LAN和SAN备份</w:t>
            </w:r>
            <w:bookmarkEnd w:id="154"/>
            <w:r>
              <w:rPr>
                <w:rFonts w:hint="eastAsia" w:ascii="宋体" w:hAnsi="宋体" w:cs="宋体"/>
                <w:color w:val="000000"/>
                <w:kern w:val="0"/>
                <w:szCs w:val="21"/>
              </w:rPr>
              <w:t>，含系统、文件、数据库备份功能；</w:t>
            </w:r>
            <w:r>
              <w:rPr>
                <w:rFonts w:ascii="宋体" w:hAnsi="宋体" w:cs="宋体"/>
                <w:color w:val="000000"/>
                <w:kern w:val="0"/>
                <w:szCs w:val="21"/>
              </w:rPr>
              <w:t></w:t>
            </w:r>
            <w:bookmarkStart w:id="155" w:name="_Hlk52806450"/>
            <w:r>
              <w:rPr>
                <w:rFonts w:ascii="宋体" w:hAnsi="宋体" w:cs="宋体"/>
                <w:color w:val="000000"/>
                <w:kern w:val="0"/>
                <w:szCs w:val="21"/>
              </w:rPr>
              <w:tab/>
            </w:r>
            <w:r>
              <w:rPr>
                <w:rFonts w:ascii="宋体" w:hAnsi="宋体" w:cs="宋体"/>
                <w:color w:val="000000"/>
                <w:kern w:val="0"/>
                <w:szCs w:val="21"/>
              </w:rPr>
              <w:t>30</w:t>
            </w:r>
            <w:r>
              <w:rPr>
                <w:rFonts w:hint="eastAsia" w:ascii="宋体" w:hAnsi="宋体" w:cs="宋体"/>
                <w:color w:val="000000"/>
                <w:kern w:val="0"/>
                <w:szCs w:val="21"/>
              </w:rPr>
              <w:t>个虚拟机备份许可（不限宿主机和</w:t>
            </w:r>
            <w:r>
              <w:rPr>
                <w:rFonts w:ascii="宋体" w:hAnsi="宋体" w:cs="宋体"/>
                <w:color w:val="000000"/>
                <w:kern w:val="0"/>
                <w:szCs w:val="21"/>
              </w:rPr>
              <w:t>CPU</w:t>
            </w:r>
            <w:r>
              <w:rPr>
                <w:rFonts w:hint="eastAsia" w:ascii="宋体" w:hAnsi="宋体" w:cs="宋体"/>
                <w:color w:val="000000"/>
                <w:kern w:val="0"/>
                <w:szCs w:val="21"/>
              </w:rPr>
              <w:t>数量）</w:t>
            </w:r>
            <w:bookmarkEnd w:id="155"/>
            <w:r>
              <w:rPr>
                <w:rFonts w:hint="eastAsia" w:ascii="宋体" w:hAnsi="宋体" w:cs="宋体"/>
                <w:color w:val="000000"/>
                <w:kern w:val="0"/>
                <w:szCs w:val="21"/>
              </w:rPr>
              <w:t>，或1</w:t>
            </w:r>
            <w:r>
              <w:rPr>
                <w:rFonts w:ascii="宋体" w:hAnsi="宋体" w:cs="宋体"/>
                <w:color w:val="000000"/>
                <w:kern w:val="0"/>
                <w:szCs w:val="21"/>
              </w:rPr>
              <w:t>0</w:t>
            </w:r>
            <w:r>
              <w:rPr>
                <w:rFonts w:hint="eastAsia" w:ascii="宋体" w:hAnsi="宋体" w:cs="宋体"/>
                <w:color w:val="000000"/>
                <w:kern w:val="0"/>
                <w:szCs w:val="21"/>
              </w:rPr>
              <w:t>个宿主机备份许可（不限虚拟机数量和数据量）；</w:t>
            </w:r>
            <w:r>
              <w:rPr>
                <w:rFonts w:ascii="宋体" w:hAnsi="宋体" w:cs="宋体"/>
                <w:color w:val="000000"/>
                <w:kern w:val="0"/>
                <w:szCs w:val="21"/>
              </w:rPr>
              <w:tab/>
            </w:r>
            <w:r>
              <w:rPr>
                <w:rFonts w:ascii="宋体" w:hAnsi="宋体" w:cs="宋体"/>
                <w:color w:val="000000"/>
                <w:kern w:val="0"/>
                <w:szCs w:val="21"/>
              </w:rPr>
              <w:tab/>
            </w:r>
            <w:r>
              <w:rPr>
                <w:rFonts w:hint="eastAsia" w:ascii="宋体" w:hAnsi="宋体" w:cs="宋体"/>
                <w:color w:val="000000"/>
                <w:kern w:val="0"/>
                <w:szCs w:val="21"/>
              </w:rPr>
              <w:t>重复数据删除许可</w:t>
            </w:r>
            <w:r>
              <w:rPr>
                <w:rFonts w:ascii="宋体" w:hAnsi="宋体" w:cs="宋体"/>
                <w:color w:val="000000"/>
                <w:kern w:val="0"/>
                <w:szCs w:val="21"/>
              </w:rPr>
              <w:t>80TB</w:t>
            </w:r>
            <w:r>
              <w:rPr>
                <w:rFonts w:hint="eastAsia" w:ascii="宋体" w:hAnsi="宋体" w:cs="宋体"/>
                <w:color w:val="000000"/>
                <w:kern w:val="0"/>
                <w:szCs w:val="21"/>
              </w:rPr>
              <w:t>，含源端、目标端重复数据删除功能；</w:t>
            </w:r>
            <w:r>
              <w:rPr>
                <w:rFonts w:ascii="宋体" w:hAnsi="宋体" w:cs="宋体"/>
                <w:color w:val="000000"/>
                <w:kern w:val="0"/>
                <w:szCs w:val="21"/>
              </w:rPr>
              <w:tab/>
            </w:r>
            <w:r>
              <w:rPr>
                <w:rFonts w:hint="eastAsia" w:ascii="宋体" w:hAnsi="宋体" w:cs="宋体"/>
                <w:color w:val="000000"/>
                <w:kern w:val="0"/>
                <w:szCs w:val="21"/>
              </w:rPr>
              <w:t>不限备份前后端数据量。</w:t>
            </w:r>
            <w:r>
              <w:rPr>
                <w:rFonts w:ascii="宋体" w:hAnsi="宋体" w:cs="宋体"/>
                <w:color w:val="000000"/>
                <w:kern w:val="0"/>
                <w:szCs w:val="21"/>
              </w:rPr>
              <w:t></w:t>
            </w:r>
            <w:r>
              <w:rPr>
                <w:rFonts w:ascii="宋体" w:hAnsi="宋体" w:cs="宋体"/>
                <w:color w:val="000000"/>
                <w:kern w:val="0"/>
                <w:szCs w:val="21"/>
              </w:rPr>
              <w:tab/>
            </w:r>
          </w:p>
        </w:tc>
        <w:tc>
          <w:tcPr>
            <w:tcW w:w="1438" w:type="dxa"/>
            <w:tcBorders>
              <w:top w:val="single" w:color="auto" w:sz="4" w:space="0"/>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vMerge w:val="restart"/>
            <w:tcBorders>
              <w:top w:val="nil"/>
              <w:left w:val="nil"/>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重复数据删除功能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★内置重复数据删除功能，能根据所备份对象的类型进行智能消重，以缩短备份时间，节省存储空间。</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内嵌并行重删功能，可做去重数据库的横向扩展。支持跨越虚拟环境和物理环境。支持全局去重功能，支持广域网环境去重功能，支持对分支机构之间去重后的数据再进行比对后全局二次去重。支持数据复制功能，将已源端去重的数据远程复制到IDC机房，实现数据级的容灾。去重数据库即使损坏也不影响数据恢复。</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w:t>
            </w:r>
            <w:r>
              <w:rPr>
                <w:rFonts w:ascii="宋体" w:hAnsi="宋体"/>
                <w:color w:val="000000" w:themeColor="text1"/>
                <w:szCs w:val="21"/>
                <w14:textFill>
                  <w14:solidFill>
                    <w14:schemeClr w14:val="tx1"/>
                  </w14:solidFill>
                </w14:textFill>
              </w:rPr>
              <w:t>SQL</w:t>
            </w:r>
            <w:r>
              <w:rPr>
                <w:rFonts w:hint="eastAsia" w:ascii="宋体" w:hAnsi="宋体"/>
                <w:color w:val="000000" w:themeColor="text1"/>
                <w:szCs w:val="21"/>
                <w14:textFill>
                  <w14:solidFill>
                    <w14:schemeClr w14:val="tx1"/>
                  </w14:solidFill>
                </w14:textFill>
              </w:rPr>
              <w:t>备份</w:t>
            </w:r>
          </w:p>
        </w:tc>
        <w:tc>
          <w:tcPr>
            <w:tcW w:w="5812" w:type="dxa"/>
            <w:tcBorders>
              <w:top w:val="nil"/>
              <w:left w:val="nil"/>
              <w:bottom w:val="single" w:color="auto" w:sz="4" w:space="0"/>
              <w:right w:val="single" w:color="auto" w:sz="4" w:space="0"/>
            </w:tcBorders>
            <w:shd w:val="clear" w:color="auto" w:fill="auto"/>
          </w:tcPr>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对</w:t>
            </w:r>
            <w:r>
              <w:rPr>
                <w:rFonts w:ascii="宋体" w:hAnsi="宋体"/>
                <w:color w:val="000000" w:themeColor="text1"/>
                <w:szCs w:val="21"/>
                <w14:textFill>
                  <w14:solidFill>
                    <w14:schemeClr w14:val="tx1"/>
                  </w14:solidFill>
                </w14:textFill>
              </w:rPr>
              <w:t>SQL</w:t>
            </w:r>
            <w:r>
              <w:rPr>
                <w:rFonts w:hint="eastAsia" w:ascii="宋体" w:hAnsi="宋体"/>
                <w:color w:val="000000" w:themeColor="text1"/>
                <w:szCs w:val="21"/>
                <w14:textFill>
                  <w14:solidFill>
                    <w14:schemeClr w14:val="tx1"/>
                  </w14:solidFill>
                </w14:textFill>
              </w:rPr>
              <w:t>数据库可以进行全备份、增量备份和日志备份，基于块级备份技术实现一次全备份、永久增量备份；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在全中文图形化界面下，可将</w:t>
            </w:r>
            <w:r>
              <w:rPr>
                <w:rFonts w:ascii="宋体" w:hAnsi="宋体"/>
                <w:color w:val="000000" w:themeColor="text1"/>
                <w:szCs w:val="21"/>
                <w14:textFill>
                  <w14:solidFill>
                    <w14:schemeClr w14:val="tx1"/>
                  </w14:solidFill>
                </w14:textFill>
              </w:rPr>
              <w:t>SQL</w:t>
            </w:r>
            <w:r>
              <w:rPr>
                <w:rFonts w:hint="eastAsia" w:ascii="宋体" w:hAnsi="宋体"/>
                <w:color w:val="000000" w:themeColor="text1"/>
                <w:szCs w:val="21"/>
                <w14:textFill>
                  <w14:solidFill>
                    <w14:schemeClr w14:val="tx1"/>
                  </w14:solidFill>
                </w14:textFill>
              </w:rPr>
              <w:t>数据库恢复到指定的时间点，可实现单表恢复；</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全图形化界面下，可用备份软件策略在异机的不同路径进行自动化恢复；</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支持将S</w:t>
            </w:r>
            <w:r>
              <w:rPr>
                <w:rFonts w:ascii="宋体" w:hAnsi="宋体"/>
                <w:color w:val="000000" w:themeColor="text1"/>
                <w:szCs w:val="21"/>
                <w14:textFill>
                  <w14:solidFill>
                    <w14:schemeClr w14:val="tx1"/>
                  </w14:solidFill>
                </w14:textFill>
              </w:rPr>
              <w:t>QL</w:t>
            </w:r>
            <w:r>
              <w:rPr>
                <w:rFonts w:hint="eastAsia" w:ascii="宋体" w:hAnsi="宋体"/>
                <w:color w:val="000000" w:themeColor="text1"/>
                <w:szCs w:val="21"/>
                <w14:textFill>
                  <w14:solidFill>
                    <w14:schemeClr w14:val="tx1"/>
                  </w14:solidFill>
                </w14:textFill>
              </w:rPr>
              <w:t>数据库从备份存储的数据副本直接挂载使用。</w:t>
            </w:r>
          </w:p>
          <w:p>
            <w:pPr>
              <w:widowControl/>
              <w:rPr>
                <w:rFonts w:ascii="宋体" w:hAnsi="宋体" w:cs="宋体"/>
                <w:color w:val="000000"/>
                <w:kern w:val="0"/>
                <w:szCs w:val="21"/>
              </w:rPr>
            </w:pPr>
            <w:r>
              <w:rPr>
                <w:rFonts w:hint="eastAsia" w:ascii="宋体" w:hAnsi="宋体"/>
                <w:color w:val="FF0000"/>
                <w:szCs w:val="21"/>
              </w:rPr>
              <w:t>投标时提供软件厂商盖章的挂载功能、单表恢复功能截图。</w:t>
            </w:r>
          </w:p>
        </w:tc>
        <w:tc>
          <w:tcPr>
            <w:tcW w:w="1438" w:type="dxa"/>
            <w:tcBorders>
              <w:top w:val="nil"/>
              <w:left w:val="nil"/>
              <w:bottom w:val="single" w:color="auto" w:sz="4" w:space="0"/>
              <w:right w:val="single" w:color="auto" w:sz="4" w:space="0"/>
            </w:tcBorders>
          </w:tcPr>
          <w:p>
            <w:pPr>
              <w:rPr>
                <w:rFonts w:ascii="宋体" w:hAnsi="宋体"/>
                <w:color w:val="000000" w:themeColor="text1"/>
                <w:szCs w:val="21"/>
                <w14:textFill>
                  <w14:solidFill>
                    <w14:schemeClr w14:val="tx1"/>
                  </w14:solidFill>
                </w14:textFill>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★虚拟机无代理备份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官方支持VMware、OpenStack等多种虚拟机的无代理备份，支持单机和集群部署环境，有成熟的软件模块，提供图形化向导界面。虚拟化应用均支持以虚拟机、资源池和整个集群为单位进行备份保护保护，无需在虚拟机内部安装任何代理软件；</w:t>
            </w:r>
            <w:r>
              <w:rPr>
                <w:rFonts w:hint="eastAsia" w:ascii="宋体" w:hAnsi="宋体" w:cs="宋体"/>
                <w:color w:val="000000"/>
                <w:kern w:val="0"/>
                <w:szCs w:val="21"/>
              </w:rPr>
              <w:br w:type="textWrapping"/>
            </w:r>
            <w:r>
              <w:rPr>
                <w:rFonts w:hint="eastAsia" w:ascii="宋体" w:hAnsi="宋体" w:cs="宋体"/>
                <w:color w:val="000000"/>
                <w:kern w:val="0"/>
                <w:szCs w:val="21"/>
              </w:rPr>
              <w:t>支持自动发现新增、变更的虚拟机，可自动将新增、变更的虚拟机纳入到备份作业中，按照既有保护策略进行保护，无需人工干预。</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▲MSSQL的即时恢复</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支持MSSQL的即时恢复，无需恢复数据到生产存储中，可直接利用服务器磁盘上的MSQL备份数据快速启动数据库用于测试或应急。</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▲逻辑卷备份和单文件恢复</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逻辑卷备份和单文件恢复，在备份拥有大量小文件的文件系统时，支持对文件系统进行逻辑卷块级备份，并能从中恢复单个文件。支持加速备份功能，在进行文件系统、虚拟机、数据库以及NAS的全备份时，能够快速定位并仅备份增量的数据，然后自动在后台合成一个全备份的恢复点，这样用传统增量备份的时间即可完成全备份，从而大幅提高备份速度，满足关键系统对缩短备份窗口以及快速恢复的要求。</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▲备份多种粒度恢复</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虚拟机的一次备份多种粒度恢复，通过对虚拟机的整体单次备份，能够从中恢复虚拟机、单个磁盘文件、单个文件、数据库；对于粒度恢复，不论是备份还是恢复过程都无需任何缓存空间。在备份的过程中完成对虚拟机内内容的索引，备份完成后即可在备份软件界面中直接浏览和恢复虚拟机中的文件，简化恢复操作提高恢复性能。</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vMerge w:val="restart"/>
            <w:tcBorders>
              <w:top w:val="nil"/>
              <w:left w:val="nil"/>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支持各种备份设备</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支持各种备份设备包括磁盘、物理磁带库、虚拟带库、OST设备、云存储等，并支持将数据直接备份到上述任一类型设备上。</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vMerge w:val="continue"/>
            <w:tcBorders>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支持通过NDMP协议对网络附加存储设备（NAS）的备份和恢复，支持主流的NAS供应商，包括EMC、NetApp、Huawei、IBM、HP、Hitachi、DELL等。</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▲支持操作系统备份和裸机恢复功能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支持操作系统备份和裸机恢复功能，支持各种主流平台（包括AIX、HP-UX、Solaris、Linux和Windows）的操作系统在线备份，在需要时可以迅速从裸机状态直接恢复操作系统，无需重新安装操作系统、驱动程序和应用软件。整个系统能够应支持频繁的系统自动备份，能够保证恢复到最近备份时间点配置。</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▲异机恢复</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支持原机和异机恢复，支持将物理机恢复到虚拟环境，支持将虚拟机恢复到其他虚拟环境中。恢复时支持采用网络、光盘和U盘等多种引导方式。</w:t>
            </w:r>
          </w:p>
          <w:p>
            <w:pPr>
              <w:widowControl/>
              <w:rPr>
                <w:rFonts w:ascii="宋体" w:hAnsi="宋体" w:cs="宋体"/>
                <w:color w:val="000000"/>
                <w:kern w:val="0"/>
                <w:szCs w:val="21"/>
              </w:rPr>
            </w:pPr>
            <w:r>
              <w:rPr>
                <w:rFonts w:hint="eastAsia" w:ascii="宋体" w:hAnsi="宋体" w:cs="宋体"/>
                <w:color w:val="000000"/>
                <w:kern w:val="0"/>
                <w:szCs w:val="21"/>
              </w:rPr>
              <w:t>支</w:t>
            </w:r>
            <w:r>
              <w:rPr>
                <w:rFonts w:hint="eastAsia" w:ascii="宋体" w:hAnsi="宋体" w:cs="宋体"/>
                <w:color w:val="000000"/>
                <w:kern w:val="0"/>
                <w:szCs w:val="21"/>
              </w:rPr>
              <w:tab/>
            </w:r>
            <w:r>
              <w:rPr>
                <w:rFonts w:hint="eastAsia" w:ascii="宋体" w:hAnsi="宋体" w:cs="宋体"/>
                <w:color w:val="000000"/>
                <w:kern w:val="0"/>
                <w:szCs w:val="21"/>
              </w:rPr>
              <w:t>持各种类型数据包括文件、数据库、虚拟机等的异机恢复，提供恢复演练功能，帮助用户在本地或异地容灾站点快速的进行数据恢复测试演练验证</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▲连续数据复制</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内嵌文件系统、虚拟机、SQL Servr连续数据复制功能。</w:t>
            </w:r>
            <w:r>
              <w:rPr>
                <w:rFonts w:hint="eastAsia" w:ascii="宋体" w:hAnsi="宋体" w:cs="宋体"/>
                <w:color w:val="000000"/>
                <w:kern w:val="0"/>
                <w:szCs w:val="21"/>
              </w:rPr>
              <w:br w:type="textWrapping"/>
            </w:r>
            <w:r>
              <w:rPr>
                <w:rFonts w:hint="eastAsia" w:ascii="宋体" w:hAnsi="宋体" w:cs="宋体"/>
                <w:color w:val="000000"/>
                <w:kern w:val="0"/>
                <w:szCs w:val="21"/>
              </w:rPr>
              <w:t>支持低带宽网络实现数据复制，不依赖于任何存储和FC网络。支持带宽管理功能，可以控制数据复制对带宽的占用。支持字节级复制技术，仅复制变化的字节，以节省网络带宽。</w:t>
            </w:r>
            <w:r>
              <w:rPr>
                <w:rFonts w:hint="eastAsia" w:ascii="宋体" w:hAnsi="宋体" w:cs="宋体"/>
                <w:color w:val="000000"/>
                <w:kern w:val="0"/>
                <w:szCs w:val="21"/>
              </w:rPr>
              <w:br w:type="textWrapping"/>
            </w:r>
            <w:r>
              <w:rPr>
                <w:rFonts w:hint="eastAsia" w:ascii="宋体" w:hAnsi="宋体" w:cs="宋体"/>
                <w:color w:val="000000"/>
                <w:kern w:val="0"/>
                <w:szCs w:val="21"/>
              </w:rPr>
              <w:t>提供统一的控制台实现对在线文件系统及各种应用的实时数据连续复制，实现应用级容灾。支持对应用和文件的多对一及一对多复制。</w:t>
            </w:r>
            <w:r>
              <w:rPr>
                <w:rFonts w:hint="eastAsia" w:ascii="宋体" w:hAnsi="宋体" w:cs="宋体"/>
                <w:color w:val="000000"/>
                <w:kern w:val="0"/>
                <w:szCs w:val="21"/>
              </w:rPr>
              <w:br w:type="textWrapping"/>
            </w:r>
            <w:r>
              <w:rPr>
                <w:rFonts w:hint="eastAsia" w:ascii="宋体" w:hAnsi="宋体" w:cs="宋体"/>
                <w:color w:val="000000"/>
                <w:kern w:val="0"/>
                <w:szCs w:val="21"/>
              </w:rPr>
              <w:t>可定期在备机端创建应用一致性快照，并可挂载快照副本进行应用查询和一致性验证。支持从目标主机还原数据到源主机。</w:t>
            </w:r>
            <w:r>
              <w:rPr>
                <w:rFonts w:hint="eastAsia" w:ascii="宋体" w:hAnsi="宋体" w:cs="宋体"/>
                <w:color w:val="000000"/>
                <w:kern w:val="0"/>
                <w:szCs w:val="21"/>
              </w:rPr>
              <w:br w:type="textWrapping"/>
            </w:r>
            <w:r>
              <w:rPr>
                <w:rFonts w:hint="eastAsia" w:ascii="宋体" w:hAnsi="宋体" w:cs="宋体"/>
                <w:color w:val="000000"/>
                <w:kern w:val="0"/>
                <w:szCs w:val="21"/>
              </w:rPr>
              <w:t>连续复制功能能够与备份技术集成，</w:t>
            </w:r>
            <w:r>
              <w:rPr>
                <w:rFonts w:hint="eastAsia" w:ascii="宋体" w:hAnsi="宋体" w:cs="宋体"/>
                <w:color w:val="FF0000"/>
                <w:kern w:val="0"/>
                <w:szCs w:val="21"/>
                <w:highlight w:val="yellow"/>
              </w:rPr>
              <w:t>自动在备机实现对生产数据的在线备份</w:t>
            </w:r>
            <w:r>
              <w:rPr>
                <w:rFonts w:hint="eastAsia" w:ascii="宋体" w:hAnsi="宋体" w:cs="宋体"/>
                <w:color w:val="000000"/>
                <w:kern w:val="0"/>
                <w:szCs w:val="21"/>
                <w:highlight w:val="yellow"/>
              </w:rPr>
              <w:t>，</w:t>
            </w:r>
            <w:r>
              <w:rPr>
                <w:rFonts w:hint="eastAsia" w:ascii="宋体" w:hAnsi="宋体" w:cs="宋体"/>
                <w:color w:val="000000"/>
                <w:kern w:val="0"/>
                <w:szCs w:val="21"/>
              </w:rPr>
              <w:t>以减少对生产主机的影响。</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防勒索病毒</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内嵌一键防勒索病毒功能，通过蜜罐文件自动检测客户端是否被勒索病毒攻击，当发现蜜罐文件被篡改，立刻发出攻击警告；</w:t>
            </w:r>
            <w:r>
              <w:rPr>
                <w:rFonts w:hint="eastAsia" w:ascii="宋体" w:hAnsi="宋体" w:cs="宋体"/>
                <w:color w:val="000000"/>
                <w:kern w:val="0"/>
                <w:szCs w:val="21"/>
              </w:rPr>
              <w:br w:type="textWrapping"/>
            </w:r>
            <w:r>
              <w:rPr>
                <w:rFonts w:hint="eastAsia" w:ascii="宋体" w:hAnsi="宋体" w:cs="宋体"/>
                <w:color w:val="000000"/>
                <w:kern w:val="0"/>
                <w:szCs w:val="21"/>
              </w:rPr>
              <w:t>防止任何非备份软件进程修改备份磁盘上的数据；</w:t>
            </w:r>
            <w:r>
              <w:rPr>
                <w:rFonts w:hint="eastAsia" w:ascii="宋体" w:hAnsi="宋体" w:cs="宋体"/>
                <w:color w:val="000000"/>
                <w:kern w:val="0"/>
                <w:szCs w:val="21"/>
              </w:rPr>
              <w:br w:type="textWrapping"/>
            </w:r>
            <w:r>
              <w:rPr>
                <w:rFonts w:hint="eastAsia" w:ascii="宋体" w:hAnsi="宋体" w:cs="宋体"/>
                <w:color w:val="000000"/>
                <w:kern w:val="0"/>
                <w:szCs w:val="21"/>
              </w:rPr>
              <w:t>投标时提供软件厂商盖章的防勒索病毒功能截图</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▲LAN-Free备份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支持LAN备份和LAN-Free备份方式，也能满足未来可能使用的Server-Free的备份方式。LAN-Free备份既支持传统物理环境包括主流UNIX/Linux/Windows平台，也支持虚拟化环境包括VMware和Hyper-V，可以支持采用服务器内磁盘、磁带库、及VTL等各种备份设备实现LAN-Free备份。支持新型的LAN-Free备份方式，无须业务服务器直接连接和管理备份介质，支持安装在业务服务器上的备份客户端程序通过SAN网络将备份数据直接发送给备份服务器，由备份服务器控制对存储介质的写入，这样备份系统的客户端数量可大量扩展，且备份设备的变化不会对业务服务器造成影响。且新型的LAN-Free备份方式支持采用多块8Gb或多块16Gb光纤通道卡负载均衡备份，以提高备份性能和可靠性。</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▲Docker容器备份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ab/>
            </w:r>
            <w:r>
              <w:rPr>
                <w:rFonts w:hint="eastAsia" w:ascii="宋体" w:hAnsi="宋体" w:cs="宋体"/>
                <w:color w:val="000000"/>
                <w:kern w:val="0"/>
                <w:szCs w:val="21"/>
              </w:rPr>
              <w:t>支持Docker容器环境的持久化存储数据的备份，采用图形化配置方式,且是经过Docker认证的容器数据保护方案。</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▲文件归档</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w:t>
            </w:r>
            <w:r>
              <w:rPr>
                <w:rFonts w:ascii="宋体" w:hAnsi="宋体" w:cs="宋体"/>
                <w:color w:val="000000"/>
                <w:kern w:val="0"/>
                <w:szCs w:val="21"/>
              </w:rPr>
              <w:tab/>
            </w:r>
            <w:r>
              <w:rPr>
                <w:rFonts w:hint="eastAsia" w:ascii="宋体" w:hAnsi="宋体" w:cs="宋体"/>
                <w:color w:val="000000"/>
                <w:kern w:val="0"/>
                <w:szCs w:val="21"/>
              </w:rPr>
              <w:t>内嵌文件归档功能，能直接将文件系统上的</w:t>
            </w:r>
            <w:r>
              <w:rPr>
                <w:rFonts w:ascii="宋体" w:hAnsi="宋体" w:cs="宋体"/>
                <w:color w:val="000000"/>
                <w:kern w:val="0"/>
                <w:szCs w:val="21"/>
              </w:rPr>
              <w:t>3</w:t>
            </w:r>
            <w:r>
              <w:rPr>
                <w:rFonts w:hint="eastAsia" w:ascii="宋体" w:hAnsi="宋体" w:cs="宋体"/>
                <w:color w:val="000000"/>
                <w:kern w:val="0"/>
                <w:szCs w:val="21"/>
              </w:rPr>
              <w:t>个月以上未访问的文件归档到云存储中，归档后的文件在原址保留存根，用户可以通过存根直接发起对归档文件的回调和访问。无需管理员配合进行恢复，可自助回调；</w:t>
            </w:r>
          </w:p>
          <w:p>
            <w:pPr>
              <w:widowControl/>
              <w:rPr>
                <w:rFonts w:ascii="宋体" w:hAnsi="宋体" w:cs="宋体"/>
                <w:color w:val="000000"/>
                <w:kern w:val="0"/>
                <w:szCs w:val="21"/>
              </w:rPr>
            </w:pPr>
            <w:r>
              <w:rPr>
                <w:rFonts w:ascii="宋体" w:hAnsi="宋体" w:cs="宋体"/>
                <w:color w:val="000000"/>
                <w:kern w:val="0"/>
                <w:szCs w:val="21"/>
              </w:rPr>
              <w:t></w:t>
            </w:r>
            <w:r>
              <w:rPr>
                <w:rFonts w:ascii="宋体" w:hAnsi="宋体" w:cs="宋体"/>
                <w:color w:val="000000"/>
                <w:kern w:val="0"/>
                <w:szCs w:val="21"/>
              </w:rPr>
              <w:tab/>
            </w:r>
            <w:r>
              <w:rPr>
                <w:rFonts w:hint="eastAsia" w:ascii="宋体" w:hAnsi="宋体" w:cs="宋体"/>
                <w:color w:val="000000"/>
                <w:kern w:val="0"/>
                <w:szCs w:val="21"/>
              </w:rPr>
              <w:t>支持对归档之后的文件实现内容索引和搜索功能，通过文件的关键字或其他属性可以实现对备份或归档文件的快速搜索。</w:t>
            </w:r>
          </w:p>
          <w:p>
            <w:pPr>
              <w:widowControl/>
              <w:rPr>
                <w:rFonts w:ascii="宋体" w:hAnsi="宋体" w:cs="宋体"/>
                <w:color w:val="000000"/>
                <w:kern w:val="0"/>
                <w:szCs w:val="21"/>
              </w:rPr>
            </w:pPr>
            <w:r>
              <w:rPr>
                <w:rFonts w:ascii="宋体" w:hAnsi="宋体" w:cs="宋体"/>
                <w:color w:val="000000"/>
                <w:kern w:val="0"/>
                <w:szCs w:val="21"/>
              </w:rPr>
              <w:t></w:t>
            </w:r>
            <w:r>
              <w:rPr>
                <w:rFonts w:ascii="宋体" w:hAnsi="宋体" w:cs="宋体"/>
                <w:color w:val="000000"/>
                <w:kern w:val="0"/>
                <w:szCs w:val="21"/>
              </w:rPr>
              <w:tab/>
            </w:r>
            <w:r>
              <w:rPr>
                <w:rFonts w:hint="eastAsia" w:ascii="宋体" w:hAnsi="宋体" w:cs="宋体"/>
                <w:color w:val="000000"/>
                <w:kern w:val="0"/>
                <w:szCs w:val="21"/>
              </w:rPr>
              <w:t>对文件归档后的数据进行备份，备份和归档通过一个流程实现，永久增量加合成全备份方式实现，无需多次扫描，降低备份归档对存储系统的影响。</w:t>
            </w:r>
          </w:p>
          <w:p>
            <w:pPr>
              <w:widowControl/>
              <w:rPr>
                <w:rFonts w:ascii="宋体" w:hAnsi="宋体" w:cs="宋体"/>
                <w:color w:val="000000"/>
                <w:kern w:val="0"/>
                <w:szCs w:val="21"/>
              </w:rPr>
            </w:pPr>
            <w:r>
              <w:rPr>
                <w:rFonts w:ascii="宋体" w:hAnsi="宋体" w:cs="宋体"/>
                <w:color w:val="000000"/>
                <w:kern w:val="0"/>
                <w:szCs w:val="21"/>
              </w:rPr>
              <w:t></w:t>
            </w:r>
            <w:r>
              <w:rPr>
                <w:rFonts w:ascii="宋体" w:hAnsi="宋体" w:cs="宋体"/>
                <w:color w:val="000000"/>
                <w:kern w:val="0"/>
                <w:szCs w:val="21"/>
              </w:rPr>
              <w:tab/>
            </w:r>
            <w:r>
              <w:rPr>
                <w:rFonts w:hint="eastAsia" w:ascii="宋体" w:hAnsi="宋体" w:cs="宋体"/>
                <w:color w:val="000000"/>
                <w:kern w:val="0"/>
                <w:szCs w:val="21"/>
              </w:rPr>
              <w:t>投标时提供软件厂商盖章的文件归档功能截图。</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数据加密功能</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备份数据以封闭格式存储，非tar、cpio等标准通用格式。支持对备份数据的加密功能，支持包括AES、3-DES在内至少两种加密算法（请列出）。</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资质要求</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软件产品具备中国信息安全认证中心（ISCCC）颁发的国家信息安全产品认证的数据备份与恢复类产品认证，要求提供证书编号，并可在ISCCC的网站上查询验证；</w:t>
            </w:r>
          </w:p>
          <w:p>
            <w:pPr>
              <w:pStyle w:val="2"/>
              <w:rPr>
                <w:rFonts w:hAnsi="宋体"/>
                <w:szCs w:val="21"/>
              </w:rPr>
            </w:pPr>
            <w:r>
              <w:rPr>
                <w:rFonts w:hint="eastAsia" w:hAnsi="宋体"/>
                <w:szCs w:val="21"/>
              </w:rPr>
              <w:t>软件产品具备中华人民共和国公安部颁发的计算机信息系统安全专用产品销售许可证（MOPS），要求提供销售许可证的证书编号，并可在公安部的网站上查询验证；</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服务</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ascii="宋体" w:hAnsi="宋体" w:cs="宋体"/>
                <w:color w:val="000000"/>
                <w:kern w:val="0"/>
                <w:szCs w:val="21"/>
              </w:rPr>
              <w:t>3</w:t>
            </w:r>
            <w:r>
              <w:rPr>
                <w:rFonts w:hint="eastAsia" w:ascii="宋体" w:hAnsi="宋体" w:cs="宋体"/>
                <w:color w:val="000000"/>
                <w:kern w:val="0"/>
                <w:szCs w:val="21"/>
              </w:rPr>
              <w:t>年5×</w:t>
            </w:r>
            <w:r>
              <w:rPr>
                <w:rFonts w:ascii="宋体" w:hAnsi="宋体" w:cs="宋体"/>
                <w:color w:val="000000"/>
                <w:kern w:val="0"/>
                <w:szCs w:val="21"/>
              </w:rPr>
              <w:t>8</w:t>
            </w:r>
            <w:r>
              <w:rPr>
                <w:rFonts w:hint="eastAsia" w:ascii="宋体" w:hAnsi="宋体" w:cs="宋体"/>
                <w:color w:val="000000"/>
                <w:kern w:val="0"/>
                <w:szCs w:val="21"/>
              </w:rPr>
              <w:t>原厂远程技术支持服务，提供原厂商400售后服务电话备查。</w:t>
            </w:r>
            <w:r>
              <w:rPr>
                <w:rFonts w:hint="eastAsia" w:ascii="宋体" w:hAnsi="宋体" w:cs="宋体"/>
                <w:color w:val="000000"/>
                <w:kern w:val="0"/>
                <w:szCs w:val="21"/>
              </w:rPr>
              <w:br w:type="textWrapping"/>
            </w:r>
            <w:r>
              <w:rPr>
                <w:rFonts w:hint="eastAsia" w:ascii="宋体" w:hAnsi="宋体" w:cs="宋体"/>
                <w:color w:val="000000"/>
                <w:kern w:val="0"/>
                <w:szCs w:val="21"/>
              </w:rPr>
              <w:t>工程师上门安装调试及现场培训</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软件验收</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cs="宋体"/>
                <w:color w:val="000000"/>
                <w:kern w:val="0"/>
                <w:szCs w:val="21"/>
              </w:rPr>
              <w:t>软件交付时需按照项目要求对功能逐一测试。如系统测试中发现性能指标或功能上不符合标书和合同时，将被看作性能不合要求，设备使用单位有权废标、拒绝付款并要求赔偿。</w:t>
            </w:r>
            <w:r>
              <w:rPr>
                <w:rFonts w:hint="eastAsia" w:ascii="宋体" w:hAnsi="宋体" w:cs="宋体"/>
                <w:color w:val="000000"/>
                <w:kern w:val="0"/>
                <w:szCs w:val="21"/>
              </w:rPr>
              <w:br w:type="textWrapping"/>
            </w:r>
            <w:r>
              <w:rPr>
                <w:rFonts w:hint="eastAsia" w:ascii="宋体" w:hAnsi="宋体" w:cs="宋体"/>
                <w:color w:val="000000"/>
                <w:kern w:val="0"/>
                <w:szCs w:val="21"/>
              </w:rPr>
              <w:t>对所有备份任务完成一次恢复演练测试，交付恢复演练结果。恢复演练测试需要有软件实施工程师与客户备份管理员共同参与，并签字确认。</w:t>
            </w:r>
            <w:r>
              <w:rPr>
                <w:rFonts w:ascii="宋体" w:hAnsi="宋体" w:cs="宋体"/>
                <w:color w:val="000000"/>
                <w:kern w:val="0"/>
                <w:szCs w:val="21"/>
              </w:rPr>
              <w:tab/>
            </w:r>
          </w:p>
          <w:p>
            <w:pPr>
              <w:widowControl/>
              <w:rPr>
                <w:rFonts w:ascii="宋体" w:hAnsi="宋体" w:cs="宋体"/>
                <w:color w:val="000000"/>
                <w:kern w:val="0"/>
                <w:szCs w:val="21"/>
              </w:rPr>
            </w:pPr>
            <w:r>
              <w:rPr>
                <w:rFonts w:hint="eastAsia" w:ascii="宋体" w:hAnsi="宋体" w:cs="宋体"/>
                <w:color w:val="000000"/>
                <w:kern w:val="0"/>
                <w:szCs w:val="21"/>
              </w:rPr>
              <w:t>验收时提供原厂盖章的软件配置清单及官网查询链接，包含各个模块的数量和序列号。如发现软件盗版，投标人需赔付合同金额</w:t>
            </w:r>
            <w:r>
              <w:rPr>
                <w:rFonts w:ascii="宋体" w:hAnsi="宋体" w:cs="宋体"/>
                <w:color w:val="000000"/>
                <w:kern w:val="0"/>
                <w:szCs w:val="21"/>
              </w:rPr>
              <w:t>10</w:t>
            </w:r>
            <w:r>
              <w:rPr>
                <w:rFonts w:hint="eastAsia" w:ascii="宋体" w:hAnsi="宋体" w:cs="宋体"/>
                <w:color w:val="000000"/>
                <w:kern w:val="0"/>
                <w:szCs w:val="21"/>
              </w:rPr>
              <w:t>倍罚金。</w:t>
            </w:r>
          </w:p>
        </w:tc>
        <w:tc>
          <w:tcPr>
            <w:tcW w:w="1438" w:type="dxa"/>
            <w:tcBorders>
              <w:top w:val="nil"/>
              <w:left w:val="nil"/>
              <w:bottom w:val="single" w:color="auto" w:sz="4" w:space="0"/>
              <w:right w:val="single" w:color="auto" w:sz="4" w:space="0"/>
            </w:tcBorders>
          </w:tcPr>
          <w:p>
            <w:pPr>
              <w:widowControl/>
              <w:rPr>
                <w:rFonts w:ascii="宋体" w:hAnsi="宋体" w:cs="宋体"/>
                <w:color w:val="000000"/>
                <w:kern w:val="0"/>
                <w:szCs w:val="21"/>
              </w:rPr>
            </w:pPr>
          </w:p>
        </w:tc>
      </w:tr>
      <w:tr>
        <w:tblPrEx>
          <w:tblCellMar>
            <w:top w:w="0" w:type="dxa"/>
            <w:left w:w="108" w:type="dxa"/>
            <w:bottom w:w="0" w:type="dxa"/>
            <w:right w:w="108" w:type="dxa"/>
          </w:tblCellMar>
        </w:tblPrEx>
        <w:trPr>
          <w:trHeight w:val="283" w:hRule="atLeast"/>
          <w:jc w:val="center"/>
        </w:trPr>
        <w:tc>
          <w:tcPr>
            <w:tcW w:w="778" w:type="dxa"/>
            <w:vMerge w:val="continue"/>
            <w:tcBorders>
              <w:left w:val="single" w:color="auto" w:sz="4" w:space="0"/>
              <w:bottom w:val="single" w:color="auto" w:sz="4" w:space="0"/>
              <w:right w:val="single" w:color="auto" w:sz="4" w:space="0"/>
            </w:tcBorders>
          </w:tcPr>
          <w:p>
            <w:pPr>
              <w:widowControl/>
              <w:jc w:val="left"/>
              <w:rPr>
                <w:rFonts w:ascii="宋体" w:hAnsi="宋体" w:cs="宋体"/>
                <w:color w:val="000000"/>
                <w:kern w:val="0"/>
                <w:szCs w:val="21"/>
              </w:rPr>
            </w:pPr>
          </w:p>
        </w:tc>
        <w:tc>
          <w:tcPr>
            <w:tcW w:w="1207"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其它要求</w:t>
            </w:r>
          </w:p>
        </w:tc>
        <w:tc>
          <w:tcPr>
            <w:tcW w:w="5812"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Cs w:val="21"/>
              </w:rPr>
            </w:pPr>
            <w:r>
              <w:rPr>
                <w:rFonts w:hint="eastAsia" w:ascii="宋体" w:hAnsi="宋体"/>
                <w:szCs w:val="21"/>
              </w:rPr>
              <w:t>标配导轨*1、理线架*1</w:t>
            </w:r>
          </w:p>
        </w:tc>
        <w:tc>
          <w:tcPr>
            <w:tcW w:w="1438" w:type="dxa"/>
            <w:tcBorders>
              <w:top w:val="nil"/>
              <w:left w:val="nil"/>
              <w:bottom w:val="single" w:color="auto" w:sz="4" w:space="0"/>
              <w:right w:val="single" w:color="auto" w:sz="4" w:space="0"/>
            </w:tcBorders>
          </w:tcPr>
          <w:p>
            <w:pPr>
              <w:widowControl/>
              <w:rPr>
                <w:rFonts w:ascii="宋体" w:hAnsi="宋体"/>
                <w:szCs w:val="21"/>
              </w:rPr>
            </w:pPr>
          </w:p>
        </w:tc>
      </w:tr>
    </w:tbl>
    <w:p>
      <w:pPr>
        <w:pStyle w:val="2"/>
        <w:rPr>
          <w:rFonts w:hAnsi="宋体"/>
          <w:szCs w:val="21"/>
        </w:rPr>
      </w:pPr>
    </w:p>
    <w:p>
      <w:pPr>
        <w:widowControl/>
        <w:jc w:val="left"/>
        <w:rPr>
          <w:rFonts w:ascii="宋体" w:hAnsi="宋体" w:cs="宋体"/>
          <w:szCs w:val="21"/>
        </w:rPr>
      </w:pPr>
      <w:r>
        <w:rPr>
          <w:rFonts w:hAnsi="宋体"/>
          <w:szCs w:val="21"/>
        </w:rPr>
        <w:br w:type="page"/>
      </w:r>
    </w:p>
    <w:p>
      <w:pPr>
        <w:pStyle w:val="2"/>
        <w:rPr>
          <w:rFonts w:hAnsi="宋体"/>
          <w:szCs w:val="21"/>
        </w:rPr>
      </w:pPr>
    </w:p>
    <w:p>
      <w:pPr>
        <w:pStyle w:val="4"/>
        <w:keepNext w:val="0"/>
        <w:keepLines w:val="0"/>
        <w:numPr>
          <w:ilvl w:val="0"/>
          <w:numId w:val="47"/>
        </w:numPr>
        <w:spacing w:line="360" w:lineRule="auto"/>
        <w:jc w:val="center"/>
        <w:rPr>
          <w:rFonts w:eastAsia="宋体"/>
          <w:sz w:val="30"/>
          <w:szCs w:val="30"/>
        </w:rPr>
      </w:pPr>
      <w:bookmarkStart w:id="156" w:name="_Toc52888963"/>
      <w:r>
        <w:rPr>
          <w:rFonts w:hint="eastAsia" w:eastAsia="宋体"/>
          <w:sz w:val="30"/>
          <w:szCs w:val="30"/>
        </w:rPr>
        <w:t>设备清单</w:t>
      </w:r>
      <w:bookmarkEnd w:id="156"/>
    </w:p>
    <w:p>
      <w:pPr>
        <w:pStyle w:val="2"/>
        <w:rPr>
          <w:rFonts w:hAnsi="宋体"/>
          <w:b/>
          <w:bCs/>
          <w:sz w:val="28"/>
          <w:szCs w:val="28"/>
        </w:rPr>
      </w:pPr>
      <w:r>
        <w:rPr>
          <w:rFonts w:hint="eastAsia" w:hAnsi="宋体"/>
          <w:b/>
          <w:bCs/>
          <w:sz w:val="28"/>
          <w:szCs w:val="28"/>
        </w:rPr>
        <w:t>应标时请详细列明具体品牌、配置、型号等详细。</w:t>
      </w:r>
    </w:p>
    <w:tbl>
      <w:tblPr>
        <w:tblStyle w:val="21"/>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1134"/>
        <w:gridCol w:w="4506"/>
        <w:gridCol w:w="2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 xml:space="preserve">项目名称 </w:t>
            </w:r>
          </w:p>
        </w:tc>
        <w:tc>
          <w:tcPr>
            <w:tcW w:w="1134" w:type="dxa"/>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指标名称</w:t>
            </w:r>
          </w:p>
        </w:tc>
        <w:tc>
          <w:tcPr>
            <w:tcW w:w="4506" w:type="dxa"/>
            <w:shd w:val="clear" w:color="000000" w:fill="CCFFFF"/>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参数要求</w:t>
            </w:r>
          </w:p>
        </w:tc>
        <w:tc>
          <w:tcPr>
            <w:tcW w:w="2688" w:type="dxa"/>
            <w:shd w:val="clear" w:color="000000" w:fill="CCFFFF"/>
          </w:tcPr>
          <w:p>
            <w:pPr>
              <w:widowControl/>
              <w:jc w:val="center"/>
              <w:rPr>
                <w:rFonts w:ascii="宋体" w:hAnsi="宋体" w:cs="宋体"/>
                <w:b/>
                <w:bCs/>
                <w:color w:val="000000"/>
                <w:kern w:val="0"/>
                <w:szCs w:val="21"/>
              </w:rPr>
            </w:pPr>
            <w:r>
              <w:rPr>
                <w:rFonts w:hint="eastAsia" w:ascii="宋体" w:hAnsi="宋体" w:cs="宋体"/>
                <w:b/>
                <w:bCs/>
                <w:color w:val="000000"/>
                <w:kern w:val="0"/>
                <w:szCs w:val="21"/>
              </w:rPr>
              <w:t>投标方响应情况说明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restart"/>
            <w:shd w:val="clear" w:color="000000" w:fill="auto"/>
            <w:vAlign w:val="center"/>
          </w:tcPr>
          <w:p>
            <w:pPr>
              <w:pStyle w:val="2"/>
              <w:rPr>
                <w:b/>
                <w:bCs/>
                <w:sz w:val="24"/>
                <w:szCs w:val="24"/>
              </w:rPr>
            </w:pPr>
            <w:r>
              <w:rPr>
                <w:rFonts w:hint="eastAsia"/>
                <w:b/>
                <w:bCs/>
                <w:sz w:val="24"/>
                <w:szCs w:val="24"/>
              </w:rPr>
              <w:t>虚拟化服务器（8台）</w:t>
            </w: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★CPU</w:t>
            </w:r>
            <w:r>
              <w:rPr>
                <w:rFonts w:hint="eastAsia" w:ascii="宋体" w:hAnsi="宋体" w:cs="宋体"/>
                <w:b/>
                <w:bCs/>
                <w:kern w:val="0"/>
                <w:szCs w:val="21"/>
              </w:rPr>
              <w:tab/>
            </w:r>
            <w:r>
              <w:rPr>
                <w:rFonts w:hint="eastAsia" w:ascii="宋体" w:hAnsi="宋体" w:cs="宋体"/>
                <w:b/>
                <w:bCs/>
                <w:kern w:val="0"/>
                <w:szCs w:val="21"/>
              </w:rPr>
              <w:t>配置</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≥2颗至强二代可扩展处理器；主频≥2.1G HZ，每cpu≥ 18物理核。</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★内存</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配置≥512GB 2933MHz DDR4内存</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存储</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配置≥2块800G SSD SAS硬盘</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★阵列卡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RAID阵列卡要求直通功能，满足VMWARE,OPENSTACK兼容性要求.</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★网卡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配置≥2*1GE千兆网口，≥4*10GE万兆网口(含万兆多模光模块)，要求支持RoCE v2协议</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保修</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硬件原厂三年保修（厂家授权函原件）</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widowControl/>
              <w:jc w:val="center"/>
              <w:rPr>
                <w:rFonts w:ascii="宋体" w:hAnsi="宋体" w:cs="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★其它要求</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非华为服务器</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restart"/>
            <w:shd w:val="clear" w:color="000000" w:fill="auto"/>
            <w:vAlign w:val="center"/>
          </w:tcPr>
          <w:p>
            <w:pPr>
              <w:pStyle w:val="2"/>
              <w:rPr>
                <w:rFonts w:hAnsi="宋体"/>
                <w:b/>
                <w:bCs/>
                <w:kern w:val="0"/>
                <w:szCs w:val="21"/>
              </w:rPr>
            </w:pPr>
            <w:r>
              <w:rPr>
                <w:rFonts w:hint="eastAsia"/>
                <w:b/>
                <w:bCs/>
                <w:sz w:val="24"/>
                <w:szCs w:val="24"/>
              </w:rPr>
              <w:t>专用服务器（</w:t>
            </w:r>
            <w:r>
              <w:rPr>
                <w:b/>
                <w:bCs/>
                <w:sz w:val="24"/>
                <w:szCs w:val="24"/>
              </w:rPr>
              <w:t>1</w:t>
            </w:r>
            <w:r>
              <w:rPr>
                <w:rFonts w:hint="eastAsia"/>
                <w:b/>
                <w:bCs/>
                <w:sz w:val="24"/>
                <w:szCs w:val="24"/>
              </w:rPr>
              <w:t>台）</w:t>
            </w: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★CPU</w:t>
            </w:r>
            <w:r>
              <w:rPr>
                <w:rFonts w:hint="eastAsia" w:ascii="宋体" w:hAnsi="宋体" w:cs="宋体"/>
                <w:b/>
                <w:bCs/>
                <w:kern w:val="0"/>
                <w:szCs w:val="21"/>
              </w:rPr>
              <w:tab/>
            </w:r>
            <w:r>
              <w:rPr>
                <w:rFonts w:hint="eastAsia" w:ascii="宋体" w:hAnsi="宋体" w:cs="宋体"/>
                <w:b/>
                <w:bCs/>
                <w:kern w:val="0"/>
                <w:szCs w:val="21"/>
              </w:rPr>
              <w:t>配置</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4颗至强第二代6系列可扩展处理器，主频≥2.1G HZ，每cpu≥ 20物理核。</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rFonts w:hAnsi="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★内存</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≥16 * 64GB = 1TB 2933 MHz</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rFonts w:hAnsi="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存储</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2块≥800GB 2.5 SSD 12Gbs 热插拔硬盘</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rFonts w:hAnsi="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★阵列卡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★支持12Gb/s SAS RAID; 支持SAS/SATA/NVME混合模式; 提供RAID 0/1/5/10/50；缓存≥2G，配置超级电容</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rFonts w:hAnsi="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★网卡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≥2个10Gb光网口，HBA卡 ≥4个FC 32Gb 光口（含多模模块）</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rFonts w:hAnsi="宋体"/>
                <w:b/>
                <w:bCs/>
                <w:kern w:val="0"/>
                <w:szCs w:val="21"/>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保修</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硬件原厂三年保修，7x24x4 原厂工程师带备件上门现场支持服务（厂家授权函原件）</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★其它要求</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华为服务器</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restart"/>
            <w:shd w:val="clear" w:color="000000" w:fill="auto"/>
            <w:vAlign w:val="center"/>
          </w:tcPr>
          <w:p>
            <w:pPr>
              <w:pStyle w:val="2"/>
              <w:rPr>
                <w:b/>
                <w:bCs/>
              </w:rPr>
            </w:pPr>
            <w:r>
              <w:rPr>
                <w:rFonts w:hint="eastAsia"/>
                <w:b/>
                <w:bCs/>
              </w:rPr>
              <w:t>专用存储柜（1套）</w:t>
            </w:r>
          </w:p>
        </w:tc>
        <w:tc>
          <w:tcPr>
            <w:tcW w:w="1134" w:type="dxa"/>
            <w:vMerge w:val="restart"/>
            <w:shd w:val="clear" w:color="000000" w:fill="auto"/>
            <w:vAlign w:val="center"/>
          </w:tcPr>
          <w:p>
            <w:pPr>
              <w:widowControl/>
              <w:jc w:val="center"/>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控制器</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实配控制器数量≥2，双活工作模式</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continue"/>
            <w:shd w:val="clear" w:color="000000" w:fill="auto"/>
            <w:vAlign w:val="center"/>
          </w:tcPr>
          <w:p>
            <w:pPr>
              <w:widowControl/>
              <w:jc w:val="center"/>
              <w:rPr>
                <w:rFonts w:ascii="宋体" w:hAnsi="宋体" w:cs="宋体"/>
                <w:b/>
                <w:bCs/>
                <w:kern w:val="0"/>
                <w:szCs w:val="21"/>
              </w:rPr>
            </w:pP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每控制器≥64GB缓存</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存储磁盘容量</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 xml:space="preserve">企业级热插拔硬盘 2.5寸 </w:t>
            </w:r>
          </w:p>
          <w:p>
            <w:pPr>
              <w:widowControl/>
              <w:jc w:val="center"/>
              <w:rPr>
                <w:rFonts w:ascii="宋体" w:hAnsi="宋体" w:cs="宋体"/>
                <w:kern w:val="0"/>
                <w:szCs w:val="21"/>
              </w:rPr>
            </w:pPr>
            <w:r>
              <w:rPr>
                <w:rFonts w:hint="eastAsia" w:ascii="宋体" w:hAnsi="宋体" w:cs="宋体"/>
                <w:kern w:val="0"/>
                <w:szCs w:val="21"/>
              </w:rPr>
              <w:t>SSD总容量≥5TB 单盘不低于800GB 12Gbps 3dwd，</w:t>
            </w:r>
          </w:p>
          <w:p>
            <w:pPr>
              <w:widowControl/>
              <w:jc w:val="center"/>
              <w:rPr>
                <w:rFonts w:ascii="宋体" w:hAnsi="宋体" w:cs="宋体"/>
                <w:kern w:val="0"/>
                <w:szCs w:val="21"/>
              </w:rPr>
            </w:pPr>
            <w:r>
              <w:rPr>
                <w:rFonts w:hint="eastAsia" w:ascii="宋体" w:hAnsi="宋体" w:cs="宋体"/>
                <w:kern w:val="0"/>
                <w:szCs w:val="21"/>
              </w:rPr>
              <w:t>HDD总容量≥15TB 单盘不低于1.8TB 12Gbps 转速不低于10K</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网络接口</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≥4个10Gb光口，HBA FC 32Gb光口≥4个（含多模模块）</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restart"/>
            <w:shd w:val="clear" w:color="000000" w:fill="auto"/>
            <w:vAlign w:val="center"/>
          </w:tcPr>
          <w:p>
            <w:pPr>
              <w:jc w:val="center"/>
              <w:rPr>
                <w:rFonts w:ascii="宋体" w:hAnsi="宋体" w:cs="宋体"/>
                <w:b/>
                <w:bCs/>
                <w:kern w:val="0"/>
                <w:szCs w:val="21"/>
              </w:rPr>
            </w:pPr>
            <w:r>
              <w:rPr>
                <w:rFonts w:hint="eastAsia" w:ascii="宋体" w:hAnsi="宋体" w:cs="宋体"/>
                <w:b/>
                <w:bCs/>
                <w:kern w:val="0"/>
                <w:szCs w:val="21"/>
              </w:rPr>
              <w:t>实用功能</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★存储快照</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continue"/>
            <w:shd w:val="clear" w:color="000000" w:fill="auto"/>
            <w:vAlign w:val="center"/>
          </w:tcPr>
          <w:p>
            <w:pPr>
              <w:widowControl/>
              <w:jc w:val="center"/>
              <w:rPr>
                <w:rFonts w:ascii="宋体" w:hAnsi="宋体" w:cs="宋体"/>
                <w:b/>
                <w:bCs/>
                <w:kern w:val="0"/>
                <w:szCs w:val="21"/>
              </w:rPr>
            </w:pP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★在线扩容</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continue"/>
            <w:shd w:val="clear" w:color="000000" w:fill="auto"/>
            <w:vAlign w:val="center"/>
          </w:tcPr>
          <w:p>
            <w:pPr>
              <w:widowControl/>
              <w:jc w:val="center"/>
              <w:rPr>
                <w:rFonts w:ascii="宋体" w:hAnsi="宋体" w:cs="宋体"/>
                <w:b/>
                <w:bCs/>
                <w:kern w:val="0"/>
                <w:szCs w:val="21"/>
              </w:rPr>
            </w:pP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★数据自动分层功能配置全容量许可后续扩容无需额外购买许可</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continue"/>
            <w:shd w:val="clear" w:color="000000" w:fill="auto"/>
            <w:vAlign w:val="center"/>
          </w:tcPr>
          <w:p>
            <w:pPr>
              <w:widowControl/>
              <w:jc w:val="center"/>
              <w:rPr>
                <w:rFonts w:ascii="宋体" w:hAnsi="宋体" w:cs="宋体"/>
                <w:b/>
                <w:bCs/>
                <w:kern w:val="0"/>
                <w:szCs w:val="21"/>
              </w:rPr>
            </w:pP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★远程复制使用永久许可(SAN与NAS共用)2个</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vMerge w:val="continue"/>
            <w:shd w:val="clear" w:color="000000" w:fill="auto"/>
            <w:vAlign w:val="center"/>
          </w:tcPr>
          <w:p>
            <w:pPr>
              <w:widowControl/>
              <w:jc w:val="center"/>
              <w:rPr>
                <w:rFonts w:ascii="宋体" w:hAnsi="宋体" w:cs="宋体"/>
                <w:b/>
                <w:bCs/>
                <w:kern w:val="0"/>
                <w:szCs w:val="21"/>
              </w:rPr>
            </w:pP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★阵列双活使用永久许可(SAN与NAS共用)4个</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保修</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硬件原厂三年保修，7x24x4 原厂工程师带备件上门现场支持服务（厂家授权函原件）</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★其它要求</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华为存储柜</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restart"/>
            <w:shd w:val="clear" w:color="000000" w:fill="auto"/>
            <w:vAlign w:val="center"/>
          </w:tcPr>
          <w:p>
            <w:pPr>
              <w:pStyle w:val="2"/>
              <w:rPr>
                <w:b/>
                <w:bCs/>
              </w:rPr>
            </w:pPr>
            <w:r>
              <w:rPr>
                <w:rFonts w:hint="eastAsia"/>
                <w:b/>
                <w:bCs/>
              </w:rPr>
              <w:t>备份服务器硬件（1套）</w:t>
            </w: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★CPU</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color w:val="000000"/>
                <w:kern w:val="0"/>
                <w:szCs w:val="21"/>
              </w:rPr>
              <w:t>≥</w:t>
            </w:r>
            <w:r>
              <w:rPr>
                <w:rFonts w:ascii="宋体" w:hAnsi="宋体" w:cs="宋体"/>
                <w:color w:val="000000"/>
                <w:kern w:val="0"/>
                <w:szCs w:val="21"/>
              </w:rPr>
              <w:t>2</w:t>
            </w:r>
            <w:r>
              <w:rPr>
                <w:rFonts w:hint="eastAsia" w:ascii="宋体" w:hAnsi="宋体" w:cs="宋体"/>
                <w:color w:val="000000"/>
                <w:kern w:val="0"/>
                <w:szCs w:val="21"/>
              </w:rPr>
              <w:t>颗至强可扩展处理器；主频≥2.</w:t>
            </w:r>
            <w:r>
              <w:rPr>
                <w:rFonts w:ascii="宋体" w:hAnsi="宋体" w:cs="宋体"/>
                <w:color w:val="000000"/>
                <w:kern w:val="0"/>
                <w:szCs w:val="21"/>
              </w:rPr>
              <w:t>1</w:t>
            </w:r>
            <w:r>
              <w:rPr>
                <w:rFonts w:hint="eastAsia" w:ascii="宋体" w:hAnsi="宋体" w:cs="宋体"/>
                <w:color w:val="000000"/>
                <w:kern w:val="0"/>
                <w:szCs w:val="21"/>
              </w:rPr>
              <w:t>G HZ，每cpu≥ </w:t>
            </w:r>
            <w:r>
              <w:rPr>
                <w:rFonts w:ascii="宋体" w:hAnsi="宋体" w:cs="宋体"/>
                <w:color w:val="000000"/>
                <w:kern w:val="0"/>
                <w:szCs w:val="21"/>
              </w:rPr>
              <w:t>8</w:t>
            </w:r>
            <w:r>
              <w:rPr>
                <w:rFonts w:hint="eastAsia" w:ascii="宋体" w:hAnsi="宋体" w:cs="宋体"/>
                <w:color w:val="000000"/>
                <w:kern w:val="0"/>
                <w:szCs w:val="21"/>
              </w:rPr>
              <w:t>物理核；</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b/>
                <w:bCs/>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★内存</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color w:val="000000"/>
                <w:kern w:val="0"/>
                <w:szCs w:val="21"/>
              </w:rPr>
              <w:t>配置≥</w:t>
            </w:r>
            <w:r>
              <w:rPr>
                <w:rFonts w:ascii="宋体" w:hAnsi="宋体" w:cs="宋体"/>
                <w:color w:val="000000"/>
                <w:kern w:val="0"/>
                <w:szCs w:val="21"/>
              </w:rPr>
              <w:t>128</w:t>
            </w:r>
            <w:r>
              <w:rPr>
                <w:rFonts w:hint="eastAsia" w:ascii="宋体" w:hAnsi="宋体" w:cs="宋体"/>
                <w:color w:val="000000"/>
                <w:kern w:val="0"/>
                <w:szCs w:val="21"/>
              </w:rPr>
              <w:t>G</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b/>
                <w:bCs/>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★硬盘</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color w:val="000000"/>
                <w:kern w:val="0"/>
                <w:szCs w:val="21"/>
              </w:rPr>
              <w:t>有效可用容量≥80TB</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b/>
                <w:bCs/>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★网卡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color w:val="000000"/>
                <w:kern w:val="0"/>
                <w:szCs w:val="21"/>
              </w:rPr>
              <w:t>配置≥2*1GE千兆网口，≥4*10GE万兆网口(含光模块)</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rPr>
                <w:b/>
                <w:bCs/>
              </w:rPr>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服务</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color w:val="000000"/>
                <w:kern w:val="0"/>
                <w:szCs w:val="21"/>
              </w:rPr>
              <w:t>原厂3年维保服务</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restart"/>
            <w:shd w:val="clear" w:color="000000" w:fill="auto"/>
            <w:vAlign w:val="center"/>
          </w:tcPr>
          <w:p>
            <w:pPr>
              <w:pStyle w:val="2"/>
              <w:rPr>
                <w:b/>
                <w:bCs/>
              </w:rPr>
            </w:pPr>
            <w:r>
              <w:rPr>
                <w:rFonts w:hint="eastAsia"/>
                <w:b/>
                <w:bCs/>
              </w:rPr>
              <w:t>备份软件要求</w:t>
            </w: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基本要求</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ab/>
            </w:r>
            <w:r>
              <w:rPr>
                <w:rFonts w:hint="eastAsia" w:ascii="宋体" w:hAnsi="宋体" w:cs="宋体"/>
                <w:kern w:val="0"/>
                <w:szCs w:val="21"/>
              </w:rPr>
              <w:t>提供集中统一的备份管理平台，实现多云环境、物理环境、虚拟环境等多种混合环境的统一备份管理，支持主流Linux/Windows平台上的文件、操作系统及各主流数据库的在线备份，支持各种主流的备份存储设备。永久许可，最终用户名为“广东兴发铝业有限公司”</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★授权配置</w:t>
            </w:r>
          </w:p>
        </w:tc>
        <w:tc>
          <w:tcPr>
            <w:tcW w:w="4506" w:type="dxa"/>
            <w:shd w:val="clear" w:color="000000" w:fill="auto"/>
            <w:vAlign w:val="center"/>
          </w:tcPr>
          <w:p>
            <w:pPr>
              <w:widowControl/>
              <w:rPr>
                <w:rFonts w:ascii="宋体" w:hAnsi="宋体" w:cs="宋体"/>
                <w:color w:val="000000"/>
                <w:kern w:val="0"/>
                <w:szCs w:val="21"/>
              </w:rPr>
            </w:pPr>
            <w:r>
              <w:rPr>
                <w:rFonts w:hint="eastAsia" w:ascii="宋体" w:hAnsi="宋体" w:cs="宋体"/>
                <w:b/>
                <w:bCs/>
                <w:color w:val="000000"/>
                <w:kern w:val="0"/>
                <w:szCs w:val="21"/>
              </w:rPr>
              <w:t>授权方式有按源端数量或目标端容量计算，二选一应标：</w:t>
            </w:r>
          </w:p>
          <w:p>
            <w:pPr>
              <w:widowControl/>
              <w:rPr>
                <w:rFonts w:ascii="宋体" w:hAnsi="宋体" w:cs="宋体"/>
                <w:color w:val="000000"/>
                <w:kern w:val="0"/>
                <w:szCs w:val="21"/>
              </w:rPr>
            </w:pPr>
            <w:r>
              <w:rPr>
                <w:rFonts w:ascii="宋体" w:hAnsi="宋体" w:cs="宋体"/>
                <w:color w:val="000000"/>
                <w:kern w:val="0"/>
                <w:szCs w:val="21"/>
              </w:rPr>
              <w:t></w:t>
            </w:r>
            <w:r>
              <w:rPr>
                <w:rFonts w:hint="eastAsia" w:ascii="宋体" w:hAnsi="宋体" w:cs="宋体"/>
                <w:b/>
                <w:bCs/>
                <w:color w:val="000000"/>
                <w:kern w:val="0"/>
                <w:szCs w:val="21"/>
              </w:rPr>
              <w:t>一、按容量授权：</w:t>
            </w:r>
            <w:r>
              <w:rPr>
                <w:rFonts w:ascii="宋体" w:hAnsi="宋体" w:cs="宋体"/>
                <w:color w:val="000000"/>
                <w:kern w:val="0"/>
                <w:szCs w:val="21"/>
              </w:rPr>
              <w:br w:type="textWrapping"/>
            </w:r>
            <w:r>
              <w:rPr>
                <w:rFonts w:hint="eastAsia" w:ascii="宋体" w:hAnsi="宋体" w:cs="宋体"/>
                <w:color w:val="000000"/>
                <w:kern w:val="0"/>
                <w:szCs w:val="21"/>
              </w:rPr>
              <w:t>配置</w:t>
            </w:r>
            <w:r>
              <w:rPr>
                <w:rFonts w:ascii="宋体" w:hAnsi="宋体" w:cs="宋体"/>
                <w:color w:val="000000"/>
                <w:kern w:val="0"/>
                <w:szCs w:val="21"/>
              </w:rPr>
              <w:t>80</w:t>
            </w:r>
            <w:r>
              <w:rPr>
                <w:rFonts w:hint="eastAsia" w:ascii="宋体" w:hAnsi="宋体" w:cs="宋体"/>
                <w:color w:val="000000"/>
                <w:kern w:val="0"/>
                <w:szCs w:val="21"/>
              </w:rPr>
              <w:t>TB容量的重复数据删除及永久增量备份功能使用许可，不限源端形式和数量。</w:t>
            </w:r>
          </w:p>
          <w:p>
            <w:pPr>
              <w:pStyle w:val="2"/>
              <w:rPr>
                <w:rFonts w:hAnsi="宋体"/>
                <w:b/>
                <w:bCs/>
                <w:szCs w:val="21"/>
              </w:rPr>
            </w:pPr>
            <w:r>
              <w:rPr>
                <w:rFonts w:hint="eastAsia" w:hAnsi="宋体"/>
                <w:b/>
                <w:bCs/>
                <w:szCs w:val="21"/>
              </w:rPr>
              <w:t>二、按源端授权：</w:t>
            </w:r>
          </w:p>
          <w:p>
            <w:pPr>
              <w:widowControl/>
              <w:jc w:val="center"/>
              <w:rPr>
                <w:rFonts w:ascii="宋体" w:hAnsi="宋体" w:cs="宋体"/>
                <w:kern w:val="0"/>
                <w:szCs w:val="21"/>
              </w:rPr>
            </w:pPr>
            <w:r>
              <w:rPr>
                <w:rFonts w:ascii="宋体" w:hAnsi="宋体" w:cs="宋体"/>
                <w:color w:val="000000"/>
                <w:kern w:val="0"/>
                <w:szCs w:val="21"/>
              </w:rPr>
              <w:t>1</w:t>
            </w:r>
            <w:r>
              <w:rPr>
                <w:rFonts w:hint="eastAsia" w:ascii="宋体" w:hAnsi="宋体" w:cs="宋体"/>
                <w:color w:val="000000"/>
                <w:kern w:val="0"/>
                <w:szCs w:val="21"/>
              </w:rPr>
              <w:t>个管理控制台许可，不限部署管理服务器端数量；</w:t>
            </w:r>
            <w:r>
              <w:rPr>
                <w:rFonts w:ascii="宋体" w:hAnsi="宋体" w:cs="宋体"/>
                <w:color w:val="000000"/>
                <w:kern w:val="0"/>
                <w:szCs w:val="21"/>
              </w:rPr>
              <w:tab/>
            </w:r>
            <w:r>
              <w:rPr>
                <w:rFonts w:ascii="宋体" w:hAnsi="宋体" w:cs="宋体"/>
                <w:color w:val="000000"/>
                <w:kern w:val="0"/>
                <w:szCs w:val="21"/>
              </w:rPr>
              <w:t>20</w:t>
            </w:r>
            <w:r>
              <w:rPr>
                <w:rFonts w:hint="eastAsia" w:ascii="宋体" w:hAnsi="宋体" w:cs="宋体"/>
                <w:color w:val="000000"/>
                <w:kern w:val="0"/>
                <w:szCs w:val="21"/>
              </w:rPr>
              <w:t>个客户端LAN和SAN备份，含系统、文件、数据库备份功能；</w:t>
            </w:r>
            <w:r>
              <w:rPr>
                <w:rFonts w:ascii="宋体" w:hAnsi="宋体" w:cs="宋体"/>
                <w:color w:val="000000"/>
                <w:kern w:val="0"/>
                <w:szCs w:val="21"/>
              </w:rPr>
              <w:t></w:t>
            </w:r>
            <w:r>
              <w:rPr>
                <w:rFonts w:ascii="宋体" w:hAnsi="宋体" w:cs="宋体"/>
                <w:color w:val="000000"/>
                <w:kern w:val="0"/>
                <w:szCs w:val="21"/>
              </w:rPr>
              <w:tab/>
            </w:r>
            <w:r>
              <w:rPr>
                <w:rFonts w:ascii="宋体" w:hAnsi="宋体" w:cs="宋体"/>
                <w:color w:val="000000"/>
                <w:kern w:val="0"/>
                <w:szCs w:val="21"/>
              </w:rPr>
              <w:t>30</w:t>
            </w:r>
            <w:r>
              <w:rPr>
                <w:rFonts w:hint="eastAsia" w:ascii="宋体" w:hAnsi="宋体" w:cs="宋体"/>
                <w:color w:val="000000"/>
                <w:kern w:val="0"/>
                <w:szCs w:val="21"/>
              </w:rPr>
              <w:t>个虚拟机备份许可（不限宿主机和</w:t>
            </w:r>
            <w:r>
              <w:rPr>
                <w:rFonts w:ascii="宋体" w:hAnsi="宋体" w:cs="宋体"/>
                <w:color w:val="000000"/>
                <w:kern w:val="0"/>
                <w:szCs w:val="21"/>
              </w:rPr>
              <w:t>CPU</w:t>
            </w:r>
            <w:r>
              <w:rPr>
                <w:rFonts w:hint="eastAsia" w:ascii="宋体" w:hAnsi="宋体" w:cs="宋体"/>
                <w:color w:val="000000"/>
                <w:kern w:val="0"/>
                <w:szCs w:val="21"/>
              </w:rPr>
              <w:t>数量），或1</w:t>
            </w:r>
            <w:r>
              <w:rPr>
                <w:rFonts w:ascii="宋体" w:hAnsi="宋体" w:cs="宋体"/>
                <w:color w:val="000000"/>
                <w:kern w:val="0"/>
                <w:szCs w:val="21"/>
              </w:rPr>
              <w:t>0</w:t>
            </w:r>
            <w:r>
              <w:rPr>
                <w:rFonts w:hint="eastAsia" w:ascii="宋体" w:hAnsi="宋体" w:cs="宋体"/>
                <w:color w:val="000000"/>
                <w:kern w:val="0"/>
                <w:szCs w:val="21"/>
              </w:rPr>
              <w:t>个宿主机备份许可（不限虚拟机数量和数据量）；</w:t>
            </w:r>
            <w:r>
              <w:rPr>
                <w:rFonts w:ascii="宋体" w:hAnsi="宋体" w:cs="宋体"/>
                <w:color w:val="000000"/>
                <w:kern w:val="0"/>
                <w:szCs w:val="21"/>
              </w:rPr>
              <w:tab/>
            </w:r>
            <w:r>
              <w:rPr>
                <w:rFonts w:ascii="宋体" w:hAnsi="宋体" w:cs="宋体"/>
                <w:color w:val="000000"/>
                <w:kern w:val="0"/>
                <w:szCs w:val="21"/>
              </w:rPr>
              <w:tab/>
            </w:r>
            <w:r>
              <w:rPr>
                <w:rFonts w:hint="eastAsia" w:ascii="宋体" w:hAnsi="宋体" w:cs="宋体"/>
                <w:color w:val="000000"/>
                <w:kern w:val="0"/>
                <w:szCs w:val="21"/>
              </w:rPr>
              <w:t>重复数据删除许可</w:t>
            </w:r>
            <w:r>
              <w:rPr>
                <w:rFonts w:ascii="宋体" w:hAnsi="宋体" w:cs="宋体"/>
                <w:color w:val="000000"/>
                <w:kern w:val="0"/>
                <w:szCs w:val="21"/>
              </w:rPr>
              <w:t>80TB</w:t>
            </w:r>
            <w:r>
              <w:rPr>
                <w:rFonts w:hint="eastAsia" w:ascii="宋体" w:hAnsi="宋体" w:cs="宋体"/>
                <w:color w:val="000000"/>
                <w:kern w:val="0"/>
                <w:szCs w:val="21"/>
              </w:rPr>
              <w:t>，含源端、目标端重复数据删除功能；</w:t>
            </w:r>
            <w:r>
              <w:rPr>
                <w:rFonts w:ascii="宋体" w:hAnsi="宋体" w:cs="宋体"/>
                <w:color w:val="000000"/>
                <w:kern w:val="0"/>
                <w:szCs w:val="21"/>
              </w:rPr>
              <w:tab/>
            </w:r>
            <w:r>
              <w:rPr>
                <w:rFonts w:hint="eastAsia" w:ascii="宋体" w:hAnsi="宋体" w:cs="宋体"/>
                <w:color w:val="000000"/>
                <w:kern w:val="0"/>
                <w:szCs w:val="21"/>
              </w:rPr>
              <w:t>不限备份前后端数据量。</w:t>
            </w:r>
            <w:r>
              <w:rPr>
                <w:rFonts w:ascii="宋体" w:hAnsi="宋体" w:cs="宋体"/>
                <w:color w:val="000000"/>
                <w:kern w:val="0"/>
                <w:szCs w:val="21"/>
              </w:rPr>
              <w:t></w:t>
            </w:r>
            <w:r>
              <w:rPr>
                <w:rFonts w:ascii="宋体" w:hAnsi="宋体" w:cs="宋体"/>
                <w:color w:val="000000"/>
                <w:kern w:val="0"/>
                <w:szCs w:val="21"/>
              </w:rPr>
              <w:tab/>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kern w:val="0"/>
                <w:szCs w:val="21"/>
              </w:rPr>
              <w:t>★</w:t>
            </w:r>
            <w:r>
              <w:rPr>
                <w:rFonts w:hint="eastAsia" w:ascii="宋体" w:hAnsi="宋体" w:cs="宋体"/>
                <w:b/>
                <w:bCs/>
                <w:kern w:val="0"/>
                <w:szCs w:val="21"/>
              </w:rPr>
              <w:t>重复数据删除功能</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内置重复数据删除功能，能根据所备份对象的类型进行智能消重，以缩短备份时间，节省存储空间。</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★SQL备份</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对SQL数据库可以进行全备份、增量备份和日志备份，基于块级备份技术实现一次全备份、永久增量备份；</w:t>
            </w:r>
          </w:p>
          <w:p>
            <w:pPr>
              <w:widowControl/>
              <w:jc w:val="center"/>
              <w:rPr>
                <w:rFonts w:ascii="宋体" w:hAnsi="宋体" w:cs="宋体"/>
                <w:kern w:val="0"/>
                <w:szCs w:val="21"/>
              </w:rPr>
            </w:pPr>
            <w:r>
              <w:rPr>
                <w:rFonts w:hint="eastAsia" w:ascii="宋体" w:hAnsi="宋体" w:cs="宋体"/>
                <w:kern w:val="0"/>
                <w:szCs w:val="21"/>
              </w:rPr>
              <w:t>在全中文图形化界面下，可将SQL数据库恢复到指定的时间点，可实现单表恢复；</w:t>
            </w:r>
          </w:p>
          <w:p>
            <w:pPr>
              <w:widowControl/>
              <w:jc w:val="center"/>
              <w:rPr>
                <w:rFonts w:ascii="宋体" w:hAnsi="宋体" w:cs="宋体"/>
                <w:kern w:val="0"/>
                <w:szCs w:val="21"/>
              </w:rPr>
            </w:pPr>
            <w:r>
              <w:rPr>
                <w:rFonts w:hint="eastAsia" w:ascii="宋体" w:hAnsi="宋体" w:cs="宋体"/>
                <w:kern w:val="0"/>
                <w:szCs w:val="21"/>
              </w:rPr>
              <w:t>全图形化界面下，可用备份软件策略在异机的不同路径进行自动化恢复；</w:t>
            </w:r>
          </w:p>
          <w:p>
            <w:pPr>
              <w:widowControl/>
              <w:jc w:val="center"/>
              <w:rPr>
                <w:rFonts w:ascii="宋体" w:hAnsi="宋体" w:cs="宋体"/>
                <w:kern w:val="0"/>
                <w:szCs w:val="21"/>
              </w:rPr>
            </w:pPr>
            <w:r>
              <w:rPr>
                <w:rFonts w:hint="eastAsia" w:ascii="宋体" w:hAnsi="宋体" w:cs="宋体"/>
                <w:kern w:val="0"/>
                <w:szCs w:val="21"/>
              </w:rPr>
              <w:t>支持将SQL数据库从备份存储的数据副本直接挂载使用。</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kern w:val="0"/>
                <w:szCs w:val="21"/>
              </w:rPr>
              <w:t>★虚拟机无代理备份</w:t>
            </w:r>
          </w:p>
        </w:tc>
        <w:tc>
          <w:tcPr>
            <w:tcW w:w="4506" w:type="dxa"/>
            <w:shd w:val="clear" w:color="000000" w:fill="auto"/>
            <w:vAlign w:val="center"/>
          </w:tcPr>
          <w:p>
            <w:pPr>
              <w:widowControl/>
              <w:jc w:val="center"/>
              <w:rPr>
                <w:rFonts w:ascii="宋体" w:hAnsi="宋体" w:cs="宋体"/>
                <w:kern w:val="0"/>
                <w:szCs w:val="21"/>
              </w:rPr>
            </w:pPr>
            <w:r>
              <w:rPr>
                <w:rFonts w:hint="eastAsia" w:ascii="宋体" w:hAnsi="宋体" w:cs="宋体"/>
                <w:kern w:val="0"/>
                <w:szCs w:val="21"/>
              </w:rPr>
              <w:t>官方支持VMware、OpenStack等多种虚拟机的无代理备份，支持单机和集群部署环境，有成熟的软件模块，提供图形化向导界面。虚拟化应用均支持以虚拟机、资源池和整个集群为单位进行备份保护保护，无需在虚拟机内部安装任何代理软件；</w:t>
            </w:r>
          </w:p>
          <w:p>
            <w:pPr>
              <w:widowControl/>
              <w:jc w:val="center"/>
              <w:rPr>
                <w:rFonts w:ascii="宋体" w:hAnsi="宋体" w:cs="宋体"/>
                <w:kern w:val="0"/>
                <w:szCs w:val="21"/>
              </w:rPr>
            </w:pPr>
            <w:r>
              <w:rPr>
                <w:rFonts w:hint="eastAsia" w:ascii="宋体" w:hAnsi="宋体" w:cs="宋体"/>
                <w:kern w:val="0"/>
                <w:szCs w:val="21"/>
              </w:rPr>
              <w:t>支持自动发现新增、变更的虚拟机，可自动将新增、变更的虚拟机纳入到备份作业中，按照既有保护策略进行保护，无需人工干预。</w:t>
            </w:r>
          </w:p>
        </w:tc>
        <w:tc>
          <w:tcPr>
            <w:tcW w:w="2688" w:type="dxa"/>
            <w:shd w:val="clear" w:color="000000" w:fill="auto"/>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129" w:type="dxa"/>
            <w:vMerge w:val="continue"/>
            <w:shd w:val="clear" w:color="000000" w:fill="auto"/>
            <w:vAlign w:val="center"/>
          </w:tcPr>
          <w:p>
            <w:pPr>
              <w:pStyle w:val="2"/>
            </w:pPr>
          </w:p>
        </w:tc>
        <w:tc>
          <w:tcPr>
            <w:tcW w:w="1134" w:type="dxa"/>
            <w:shd w:val="clear" w:color="000000" w:fill="auto"/>
            <w:vAlign w:val="center"/>
          </w:tcPr>
          <w:p>
            <w:pPr>
              <w:widowControl/>
              <w:jc w:val="center"/>
              <w:rPr>
                <w:rFonts w:ascii="宋体" w:hAnsi="宋体" w:cs="宋体"/>
                <w:b/>
                <w:bCs/>
                <w:kern w:val="0"/>
                <w:szCs w:val="21"/>
              </w:rPr>
            </w:pPr>
            <w:r>
              <w:rPr>
                <w:rFonts w:hint="eastAsia" w:ascii="宋体" w:hAnsi="宋体" w:cs="宋体"/>
                <w:b/>
                <w:bCs/>
                <w:color w:val="000000"/>
                <w:kern w:val="0"/>
                <w:szCs w:val="21"/>
              </w:rPr>
              <w:t>服务</w:t>
            </w:r>
          </w:p>
        </w:tc>
        <w:tc>
          <w:tcPr>
            <w:tcW w:w="4506" w:type="dxa"/>
            <w:shd w:val="clear" w:color="000000" w:fill="auto"/>
            <w:vAlign w:val="center"/>
          </w:tcPr>
          <w:p>
            <w:pPr>
              <w:widowControl/>
              <w:jc w:val="center"/>
              <w:rPr>
                <w:rFonts w:ascii="宋体" w:hAnsi="宋体" w:cs="宋体"/>
                <w:kern w:val="0"/>
                <w:szCs w:val="21"/>
              </w:rPr>
            </w:pPr>
            <w:r>
              <w:rPr>
                <w:rFonts w:ascii="宋体" w:hAnsi="宋体" w:cs="宋体"/>
                <w:color w:val="000000"/>
                <w:kern w:val="0"/>
                <w:szCs w:val="21"/>
              </w:rPr>
              <w:t>3</w:t>
            </w:r>
            <w:r>
              <w:rPr>
                <w:rFonts w:hint="eastAsia" w:ascii="宋体" w:hAnsi="宋体" w:cs="宋体"/>
                <w:color w:val="000000"/>
                <w:kern w:val="0"/>
                <w:szCs w:val="21"/>
              </w:rPr>
              <w:t>年5×</w:t>
            </w:r>
            <w:r>
              <w:rPr>
                <w:rFonts w:ascii="宋体" w:hAnsi="宋体" w:cs="宋体"/>
                <w:color w:val="000000"/>
                <w:kern w:val="0"/>
                <w:szCs w:val="21"/>
              </w:rPr>
              <w:t>8</w:t>
            </w:r>
            <w:r>
              <w:rPr>
                <w:rFonts w:hint="eastAsia" w:ascii="宋体" w:hAnsi="宋体" w:cs="宋体"/>
                <w:color w:val="000000"/>
                <w:kern w:val="0"/>
                <w:szCs w:val="21"/>
              </w:rPr>
              <w:t>原厂远程技术支持服务，提供原厂商400售后服务电话备查。</w:t>
            </w:r>
            <w:r>
              <w:rPr>
                <w:rFonts w:hint="eastAsia" w:ascii="宋体" w:hAnsi="宋体" w:cs="宋体"/>
                <w:color w:val="000000"/>
                <w:kern w:val="0"/>
                <w:szCs w:val="21"/>
              </w:rPr>
              <w:br w:type="textWrapping"/>
            </w:r>
            <w:r>
              <w:rPr>
                <w:rFonts w:hint="eastAsia" w:ascii="宋体" w:hAnsi="宋体" w:cs="宋体"/>
                <w:color w:val="000000"/>
                <w:kern w:val="0"/>
                <w:szCs w:val="21"/>
              </w:rPr>
              <w:t>工程师上门安装调试及现场培训</w:t>
            </w:r>
          </w:p>
        </w:tc>
        <w:tc>
          <w:tcPr>
            <w:tcW w:w="2688" w:type="dxa"/>
            <w:shd w:val="clear" w:color="000000" w:fill="auto"/>
          </w:tcPr>
          <w:p>
            <w:pPr>
              <w:widowControl/>
              <w:jc w:val="center"/>
              <w:rPr>
                <w:rFonts w:ascii="宋体" w:hAnsi="宋体" w:cs="宋体"/>
                <w:kern w:val="0"/>
                <w:szCs w:val="21"/>
              </w:rPr>
            </w:pPr>
          </w:p>
        </w:tc>
      </w:tr>
    </w:tbl>
    <w:p>
      <w:pPr>
        <w:pStyle w:val="2"/>
        <w:rPr>
          <w:rFonts w:hAnsi="宋体"/>
          <w:b/>
          <w:bCs/>
          <w:szCs w:val="21"/>
        </w:rPr>
      </w:pPr>
    </w:p>
    <w:p>
      <w:pPr>
        <w:widowControl/>
        <w:jc w:val="right"/>
        <w:rPr>
          <w:rFonts w:ascii="宋体" w:cs="宋体"/>
        </w:rPr>
      </w:pPr>
    </w:p>
    <w:p>
      <w:pPr>
        <w:pStyle w:val="2"/>
      </w:pPr>
      <w:r>
        <w:br w:type="page"/>
      </w:r>
    </w:p>
    <w:p>
      <w:pPr>
        <w:pStyle w:val="3"/>
        <w:keepNext w:val="0"/>
        <w:keepLines w:val="0"/>
        <w:pageBreakBefore/>
        <w:numPr>
          <w:ilvl w:val="0"/>
          <w:numId w:val="46"/>
        </w:numPr>
        <w:spacing w:line="360" w:lineRule="auto"/>
        <w:jc w:val="center"/>
        <w:rPr>
          <w:rFonts w:ascii="宋体" w:hAnsi="宋体"/>
          <w:sz w:val="30"/>
          <w:szCs w:val="30"/>
        </w:rPr>
      </w:pPr>
      <w:bookmarkStart w:id="157" w:name="_Toc52888964"/>
      <w:r>
        <w:rPr>
          <w:rFonts w:hint="eastAsia" w:ascii="宋体" w:hAnsi="宋体"/>
          <w:sz w:val="30"/>
          <w:szCs w:val="30"/>
        </w:rPr>
        <w:t>评分体系与标准</w:t>
      </w:r>
      <w:bookmarkEnd w:id="149"/>
      <w:bookmarkEnd w:id="150"/>
      <w:bookmarkEnd w:id="151"/>
      <w:bookmarkEnd w:id="152"/>
      <w:bookmarkEnd w:id="153"/>
      <w:bookmarkEnd w:id="157"/>
    </w:p>
    <w:p>
      <w:pPr>
        <w:spacing w:line="360" w:lineRule="auto"/>
        <w:rPr>
          <w:rFonts w:ascii="宋体" w:hAnsi="宋体"/>
          <w:szCs w:val="21"/>
        </w:rPr>
      </w:pPr>
      <w:r>
        <w:rPr>
          <w:rFonts w:hint="eastAsia" w:ascii="宋体" w:hAnsi="宋体"/>
          <w:szCs w:val="21"/>
        </w:rPr>
        <w:t>1、评标步骤：评标委员会先进行资格预审，</w:t>
      </w:r>
      <w:r>
        <w:rPr>
          <w:rFonts w:hint="eastAsia" w:ascii="宋体" w:hAnsi="宋体"/>
          <w:b/>
          <w:bCs/>
          <w:szCs w:val="21"/>
        </w:rPr>
        <w:t>对通过预审的投标文件进行技术评审，选定最高分的3到5家入围</w:t>
      </w:r>
      <w:r>
        <w:rPr>
          <w:rFonts w:hint="eastAsia" w:ascii="宋体" w:hAnsi="宋体"/>
          <w:szCs w:val="21"/>
        </w:rPr>
        <w:t>，再进行商务及价格的详细评审，最后评标委员会出具评标报告。</w:t>
      </w:r>
    </w:p>
    <w:p>
      <w:pPr>
        <w:spacing w:line="360" w:lineRule="auto"/>
        <w:rPr>
          <w:rFonts w:ascii="宋体" w:hAnsi="宋体"/>
          <w:szCs w:val="21"/>
        </w:rPr>
      </w:pPr>
      <w:r>
        <w:rPr>
          <w:rFonts w:hint="eastAsia" w:ascii="宋体" w:hAnsi="宋体"/>
          <w:szCs w:val="21"/>
        </w:rPr>
        <w:t>2、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spacing w:line="360" w:lineRule="auto"/>
        <w:rPr>
          <w:rFonts w:ascii="宋体" w:hAnsi="宋体"/>
          <w:szCs w:val="21"/>
        </w:rPr>
      </w:pPr>
    </w:p>
    <w:p>
      <w:pPr>
        <w:pStyle w:val="4"/>
        <w:keepNext w:val="0"/>
        <w:keepLines w:val="0"/>
        <w:spacing w:line="360" w:lineRule="auto"/>
        <w:jc w:val="center"/>
        <w:rPr>
          <w:rFonts w:eastAsia="宋体"/>
          <w:sz w:val="30"/>
          <w:szCs w:val="30"/>
        </w:rPr>
      </w:pPr>
      <w:bookmarkStart w:id="158" w:name="_Toc23259186"/>
      <w:bookmarkStart w:id="159" w:name="_Toc15070"/>
      <w:bookmarkStart w:id="160" w:name="_Toc31758"/>
      <w:bookmarkStart w:id="161" w:name="_Toc25860387"/>
      <w:bookmarkStart w:id="162" w:name="_Toc452967453"/>
      <w:bookmarkStart w:id="163" w:name="_Toc23259386"/>
      <w:bookmarkStart w:id="164" w:name="_Toc52888965"/>
      <w:r>
        <w:rPr>
          <w:rFonts w:hint="eastAsia" w:eastAsia="宋体"/>
          <w:sz w:val="30"/>
          <w:szCs w:val="30"/>
        </w:rPr>
        <w:t>第一章、资格、符合性评审条款</w:t>
      </w:r>
      <w:bookmarkEnd w:id="158"/>
      <w:bookmarkEnd w:id="159"/>
      <w:bookmarkEnd w:id="160"/>
      <w:bookmarkEnd w:id="161"/>
      <w:bookmarkEnd w:id="162"/>
      <w:bookmarkEnd w:id="163"/>
      <w:bookmarkEnd w:id="164"/>
    </w:p>
    <w:p>
      <w:pPr>
        <w:spacing w:line="360" w:lineRule="auto"/>
        <w:rPr>
          <w:rFonts w:ascii="宋体"/>
          <w:szCs w:val="21"/>
        </w:rPr>
      </w:pPr>
    </w:p>
    <w:tbl>
      <w:tblPr>
        <w:tblStyle w:val="21"/>
        <w:tblW w:w="89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8"/>
        <w:gridCol w:w="81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tcBorders>
              <w:top w:val="single" w:color="auto" w:sz="12" w:space="0"/>
            </w:tcBorders>
            <w:vAlign w:val="center"/>
          </w:tcPr>
          <w:p>
            <w:pPr>
              <w:spacing w:line="360" w:lineRule="auto"/>
              <w:jc w:val="center"/>
              <w:rPr>
                <w:rFonts w:ascii="宋体"/>
                <w:b/>
                <w:bCs/>
                <w:szCs w:val="21"/>
              </w:rPr>
            </w:pPr>
            <w:r>
              <w:rPr>
                <w:rFonts w:hint="eastAsia" w:ascii="宋体" w:hAnsi="宋体"/>
                <w:b/>
                <w:bCs/>
                <w:szCs w:val="21"/>
              </w:rPr>
              <w:t>序号</w:t>
            </w:r>
          </w:p>
        </w:tc>
        <w:tc>
          <w:tcPr>
            <w:tcW w:w="8110" w:type="dxa"/>
            <w:tcBorders>
              <w:top w:val="single" w:color="auto" w:sz="12" w:space="0"/>
            </w:tcBorders>
            <w:vAlign w:val="center"/>
          </w:tcPr>
          <w:p>
            <w:pPr>
              <w:spacing w:line="360" w:lineRule="auto"/>
              <w:jc w:val="center"/>
              <w:rPr>
                <w:rFonts w:ascii="宋体"/>
                <w:szCs w:val="21"/>
              </w:rPr>
            </w:pPr>
            <w:r>
              <w:rPr>
                <w:rFonts w:hint="eastAsia" w:ascii="宋体" w:hAnsi="宋体"/>
                <w:b/>
                <w:bCs/>
                <w:szCs w:val="21"/>
              </w:rPr>
              <w:t>评审内容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1</w:t>
            </w:r>
          </w:p>
        </w:tc>
        <w:tc>
          <w:tcPr>
            <w:tcW w:w="8110" w:type="dxa"/>
            <w:vAlign w:val="center"/>
          </w:tcPr>
          <w:p>
            <w:pPr>
              <w:snapToGrid w:val="0"/>
              <w:rPr>
                <w:rFonts w:ascii="宋体"/>
                <w:szCs w:val="21"/>
              </w:rPr>
            </w:pPr>
            <w:r>
              <w:rPr>
                <w:rFonts w:hint="eastAsia" w:ascii="宋体" w:hAnsi="宋体"/>
              </w:rPr>
              <w:t>满足投标人资格要求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 w:hRule="atLeast"/>
          <w:jc w:val="center"/>
        </w:trPr>
        <w:tc>
          <w:tcPr>
            <w:tcW w:w="818" w:type="dxa"/>
            <w:vAlign w:val="center"/>
          </w:tcPr>
          <w:p>
            <w:pPr>
              <w:spacing w:line="360" w:lineRule="auto"/>
              <w:jc w:val="center"/>
              <w:rPr>
                <w:rFonts w:ascii="宋体"/>
                <w:b/>
                <w:bCs/>
                <w:szCs w:val="21"/>
              </w:rPr>
            </w:pPr>
            <w:r>
              <w:rPr>
                <w:rFonts w:ascii="宋体" w:hAnsi="宋体"/>
                <w:b/>
                <w:bCs/>
                <w:szCs w:val="21"/>
              </w:rPr>
              <w:t>2</w:t>
            </w:r>
          </w:p>
        </w:tc>
        <w:tc>
          <w:tcPr>
            <w:tcW w:w="8110" w:type="dxa"/>
            <w:vAlign w:val="center"/>
          </w:tcPr>
          <w:p>
            <w:pPr>
              <w:snapToGrid w:val="0"/>
              <w:rPr>
                <w:rFonts w:ascii="宋体"/>
                <w:szCs w:val="21"/>
              </w:rPr>
            </w:pPr>
            <w:r>
              <w:rPr>
                <w:rFonts w:ascii="宋体" w:hAnsi="宋体"/>
              </w:rPr>
              <w:t>投标文件齐全，盖章、签字有效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3</w:t>
            </w:r>
          </w:p>
        </w:tc>
        <w:tc>
          <w:tcPr>
            <w:tcW w:w="8110" w:type="dxa"/>
            <w:vAlign w:val="center"/>
          </w:tcPr>
          <w:p>
            <w:pPr>
              <w:snapToGrid w:val="0"/>
              <w:rPr>
                <w:rFonts w:ascii="宋体"/>
                <w:szCs w:val="21"/>
              </w:rPr>
            </w:pPr>
            <w:r>
              <w:rPr>
                <w:rFonts w:hint="eastAsia" w:ascii="宋体" w:hAnsi="宋体"/>
              </w:rPr>
              <w:t>投标商务服务没有实质性不响应或重大偏离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4</w:t>
            </w:r>
          </w:p>
        </w:tc>
        <w:tc>
          <w:tcPr>
            <w:tcW w:w="8110" w:type="dxa"/>
            <w:vAlign w:val="center"/>
          </w:tcPr>
          <w:p>
            <w:pPr>
              <w:snapToGrid w:val="0"/>
              <w:rPr>
                <w:rFonts w:ascii="宋体"/>
                <w:szCs w:val="21"/>
              </w:rPr>
            </w:pPr>
            <w:r>
              <w:rPr>
                <w:rFonts w:hint="eastAsia" w:ascii="宋体" w:hAnsi="宋体"/>
              </w:rPr>
              <w:t>投标价格固定唯一，且没有超过最高限价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5</w:t>
            </w:r>
          </w:p>
        </w:tc>
        <w:tc>
          <w:tcPr>
            <w:tcW w:w="8110" w:type="dxa"/>
            <w:vAlign w:val="center"/>
          </w:tcPr>
          <w:p>
            <w:pPr>
              <w:snapToGrid w:val="0"/>
              <w:rPr>
                <w:rFonts w:ascii="宋体"/>
                <w:szCs w:val="21"/>
              </w:rPr>
            </w:pPr>
            <w:r>
              <w:rPr>
                <w:rFonts w:hint="eastAsia" w:ascii="宋体" w:hAnsi="宋体"/>
              </w:rPr>
              <w:t>没有被评标委员会认定投标人低于成本报价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6</w:t>
            </w:r>
          </w:p>
        </w:tc>
        <w:tc>
          <w:tcPr>
            <w:tcW w:w="8110" w:type="dxa"/>
            <w:vAlign w:val="center"/>
          </w:tcPr>
          <w:p>
            <w:pPr>
              <w:snapToGrid w:val="0"/>
              <w:rPr>
                <w:rFonts w:ascii="宋体"/>
                <w:szCs w:val="21"/>
              </w:rPr>
            </w:pPr>
            <w:r>
              <w:rPr>
                <w:rFonts w:hint="eastAsia" w:ascii="宋体" w:hAnsi="宋体"/>
                <w:szCs w:val="21"/>
              </w:rPr>
              <w:t>按规定提交足够投标保证金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vAlign w:val="center"/>
          </w:tcPr>
          <w:p>
            <w:pPr>
              <w:spacing w:line="360" w:lineRule="auto"/>
              <w:jc w:val="center"/>
              <w:rPr>
                <w:rFonts w:ascii="宋体"/>
                <w:b/>
                <w:bCs/>
                <w:szCs w:val="21"/>
              </w:rPr>
            </w:pPr>
            <w:r>
              <w:rPr>
                <w:rFonts w:ascii="宋体" w:hAnsi="宋体"/>
                <w:b/>
                <w:bCs/>
                <w:szCs w:val="21"/>
              </w:rPr>
              <w:t>7</w:t>
            </w:r>
          </w:p>
        </w:tc>
        <w:tc>
          <w:tcPr>
            <w:tcW w:w="8110" w:type="dxa"/>
            <w:vAlign w:val="center"/>
          </w:tcPr>
          <w:p>
            <w:pPr>
              <w:snapToGrid w:val="0"/>
              <w:rPr>
                <w:rFonts w:ascii="宋体"/>
                <w:szCs w:val="21"/>
              </w:rPr>
            </w:pPr>
            <w:r>
              <w:rPr>
                <w:rFonts w:hint="eastAsia" w:ascii="宋体" w:hAnsi="宋体"/>
                <w:szCs w:val="21"/>
              </w:rPr>
              <w:t>投标有效期满足要求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818" w:type="dxa"/>
            <w:tcBorders>
              <w:bottom w:val="single" w:color="auto" w:sz="12" w:space="0"/>
            </w:tcBorders>
            <w:vAlign w:val="center"/>
          </w:tcPr>
          <w:p>
            <w:pPr>
              <w:spacing w:line="360" w:lineRule="auto"/>
              <w:jc w:val="center"/>
              <w:rPr>
                <w:rFonts w:ascii="宋体" w:hAnsi="宋体"/>
                <w:b/>
                <w:bCs/>
                <w:szCs w:val="21"/>
              </w:rPr>
            </w:pPr>
            <w:r>
              <w:rPr>
                <w:rFonts w:hint="eastAsia" w:ascii="宋体" w:hAnsi="宋体"/>
                <w:b/>
                <w:bCs/>
                <w:szCs w:val="21"/>
              </w:rPr>
              <w:t>8</w:t>
            </w:r>
          </w:p>
        </w:tc>
        <w:tc>
          <w:tcPr>
            <w:tcW w:w="8110" w:type="dxa"/>
            <w:tcBorders>
              <w:bottom w:val="single" w:color="auto" w:sz="12" w:space="0"/>
            </w:tcBorders>
            <w:vAlign w:val="center"/>
          </w:tcPr>
          <w:p>
            <w:pPr>
              <w:snapToGrid w:val="0"/>
              <w:rPr>
                <w:rFonts w:ascii="宋体"/>
                <w:szCs w:val="21"/>
              </w:rPr>
            </w:pPr>
            <w:r>
              <w:rPr>
                <w:rFonts w:hint="eastAsia" w:ascii="宋体" w:hAnsi="宋体"/>
                <w:szCs w:val="21"/>
              </w:rPr>
              <w:t>满足招标文件中带“★”号的条款和指标，且符合招标文件的其他要求，没有偏离的</w:t>
            </w:r>
          </w:p>
        </w:tc>
      </w:tr>
    </w:tbl>
    <w:p>
      <w:pPr>
        <w:spacing w:line="360" w:lineRule="auto"/>
        <w:rPr>
          <w:rFonts w:ascii="宋体"/>
          <w:szCs w:val="21"/>
        </w:rPr>
      </w:pPr>
    </w:p>
    <w:p>
      <w:pPr>
        <w:pStyle w:val="4"/>
        <w:keepNext w:val="0"/>
        <w:keepLines w:val="0"/>
        <w:numPr>
          <w:ilvl w:val="0"/>
          <w:numId w:val="51"/>
        </w:numPr>
        <w:spacing w:line="360" w:lineRule="auto"/>
        <w:jc w:val="center"/>
        <w:rPr>
          <w:rFonts w:ascii="黑体" w:hAnsi="黑体"/>
          <w:sz w:val="36"/>
          <w:szCs w:val="36"/>
        </w:rPr>
      </w:pPr>
      <w:bookmarkStart w:id="165" w:name="_Toc25857"/>
      <w:r>
        <w:rPr>
          <w:rFonts w:hint="eastAsia" w:eastAsia="宋体"/>
          <w:sz w:val="30"/>
          <w:szCs w:val="30"/>
        </w:rPr>
        <w:br w:type="page"/>
      </w:r>
      <w:bookmarkStart w:id="166" w:name="_Toc13331"/>
      <w:bookmarkStart w:id="167" w:name="_Toc25860388"/>
      <w:bookmarkStart w:id="168" w:name="_Toc5690"/>
      <w:bookmarkStart w:id="169" w:name="_Toc23259387"/>
      <w:bookmarkStart w:id="170" w:name="_Toc23259187"/>
      <w:bookmarkStart w:id="171" w:name="_Toc52888966"/>
      <w:r>
        <w:rPr>
          <w:rFonts w:hint="eastAsia" w:ascii="黑体" w:hAnsi="黑体"/>
          <w:sz w:val="36"/>
          <w:szCs w:val="36"/>
        </w:rPr>
        <w:t>评分标准</w:t>
      </w:r>
      <w:bookmarkEnd w:id="166"/>
      <w:bookmarkEnd w:id="167"/>
      <w:bookmarkEnd w:id="168"/>
      <w:bookmarkEnd w:id="169"/>
      <w:bookmarkEnd w:id="170"/>
      <w:bookmarkEnd w:id="171"/>
    </w:p>
    <w:p/>
    <w:tbl>
      <w:tblPr>
        <w:tblStyle w:val="21"/>
        <w:tblW w:w="962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90"/>
        <w:gridCol w:w="9"/>
        <w:gridCol w:w="1046"/>
        <w:gridCol w:w="5919"/>
        <w:gridCol w:w="690"/>
        <w:gridCol w:w="567"/>
        <w:gridCol w:w="708"/>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9629" w:type="dxa"/>
            <w:gridSpan w:val="7"/>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8"/>
                <w:szCs w:val="28"/>
              </w:rPr>
            </w:pPr>
            <w:bookmarkStart w:id="172" w:name="_Hlk46520063"/>
            <w:r>
              <w:rPr>
                <w:rFonts w:hint="eastAsia" w:ascii="微软雅黑" w:hAnsi="微软雅黑" w:eastAsia="微软雅黑" w:cs="微软雅黑"/>
                <w:b/>
                <w:color w:val="000000"/>
                <w:kern w:val="0"/>
                <w:sz w:val="28"/>
                <w:szCs w:val="28"/>
                <w:lang w:bidi="ar"/>
              </w:rPr>
              <w:t>数据中心建设项目工程_竞选评分表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9" w:type="dxa"/>
            <w:gridSpan w:val="2"/>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考评</w:t>
            </w:r>
          </w:p>
        </w:tc>
        <w:tc>
          <w:tcPr>
            <w:tcW w:w="1046"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考评范围</w:t>
            </w:r>
          </w:p>
        </w:tc>
        <w:tc>
          <w:tcPr>
            <w:tcW w:w="5919"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评分标准</w:t>
            </w:r>
          </w:p>
        </w:tc>
        <w:tc>
          <w:tcPr>
            <w:tcW w:w="690"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分值</w:t>
            </w:r>
          </w:p>
        </w:tc>
        <w:tc>
          <w:tcPr>
            <w:tcW w:w="567" w:type="dxa"/>
            <w:vMerge w:val="restart"/>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得分</w:t>
            </w:r>
          </w:p>
        </w:tc>
        <w:tc>
          <w:tcPr>
            <w:tcW w:w="708" w:type="dxa"/>
            <w:vMerge w:val="restart"/>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9" w:type="dxa"/>
            <w:gridSpan w:val="2"/>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方向</w:t>
            </w:r>
          </w:p>
        </w:tc>
        <w:tc>
          <w:tcPr>
            <w:tcW w:w="1046"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5919"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690"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567" w:type="dxa"/>
            <w:vMerge w:val="continue"/>
            <w:noWrap/>
            <w:tcMar>
              <w:top w:w="15" w:type="dxa"/>
              <w:left w:w="15" w:type="dxa"/>
              <w:right w:w="15" w:type="dxa"/>
            </w:tcMar>
            <w:vAlign w:val="center"/>
          </w:tcPr>
          <w:p>
            <w:pPr>
              <w:jc w:val="center"/>
              <w:rPr>
                <w:rFonts w:ascii="微软雅黑" w:hAnsi="微软雅黑" w:eastAsia="微软雅黑" w:cs="微软雅黑"/>
                <w:b/>
                <w:color w:val="000000"/>
                <w:sz w:val="22"/>
              </w:rPr>
            </w:pPr>
          </w:p>
        </w:tc>
        <w:tc>
          <w:tcPr>
            <w:tcW w:w="708" w:type="dxa"/>
            <w:vMerge w:val="continue"/>
            <w:tcMar>
              <w:top w:w="15" w:type="dxa"/>
              <w:left w:w="15" w:type="dxa"/>
              <w:right w:w="15" w:type="dxa"/>
            </w:tcMar>
            <w:vAlign w:val="center"/>
          </w:tcPr>
          <w:p>
            <w:pPr>
              <w:jc w:val="center"/>
              <w:rPr>
                <w:rFonts w:ascii="微软雅黑" w:hAnsi="微软雅黑" w:eastAsia="微软雅黑" w:cs="微软雅黑"/>
                <w:b/>
                <w:color w:val="000000"/>
                <w:sz w:val="22"/>
              </w:rPr>
            </w:pPr>
          </w:p>
        </w:tc>
      </w:tr>
      <w:bookmarkEnd w:id="172"/>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trPr>
        <w:tc>
          <w:tcPr>
            <w:tcW w:w="690" w:type="dxa"/>
            <w:vMerge w:val="restart"/>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22"/>
                <w:lang w:bidi="ar"/>
              </w:rPr>
            </w:pPr>
            <w:r>
              <w:rPr>
                <w:rFonts w:hint="eastAsia" w:ascii="微软雅黑" w:hAnsi="微软雅黑" w:eastAsia="微软雅黑" w:cs="微软雅黑"/>
                <w:b/>
                <w:color w:val="000000"/>
                <w:kern w:val="0"/>
                <w:sz w:val="22"/>
                <w:lang w:bidi="ar"/>
              </w:rPr>
              <w:t>技术部分</w:t>
            </w:r>
          </w:p>
        </w:tc>
        <w:tc>
          <w:tcPr>
            <w:tcW w:w="1055" w:type="dxa"/>
            <w:gridSpan w:val="2"/>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对招标文件技术条款的响应程度</w:t>
            </w:r>
          </w:p>
        </w:tc>
        <w:tc>
          <w:tcPr>
            <w:tcW w:w="5919" w:type="dxa"/>
            <w:tcBorders>
              <w:top w:val="single" w:color="auto" w:sz="4" w:space="0"/>
            </w:tcBorders>
            <w:tcMar>
              <w:top w:w="15" w:type="dxa"/>
              <w:left w:w="15" w:type="dxa"/>
              <w:right w:w="15" w:type="dxa"/>
            </w:tcMar>
            <w:vAlign w:val="center"/>
          </w:tcPr>
          <w:p>
            <w:pPr>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kern w:val="0"/>
                <w:sz w:val="18"/>
                <w:szCs w:val="18"/>
                <w:lang w:bidi="ar"/>
              </w:rPr>
              <w:t>对招标文件技术要求的响应程度。</w:t>
            </w:r>
            <w:r>
              <w:rPr>
                <w:rFonts w:hint="eastAsia" w:ascii="微软雅黑" w:hAnsi="微软雅黑" w:eastAsia="微软雅黑" w:cs="微软雅黑"/>
                <w:b/>
                <w:bCs/>
                <w:kern w:val="0"/>
                <w:sz w:val="18"/>
                <w:szCs w:val="18"/>
                <w:lang w:bidi="ar"/>
              </w:rPr>
              <w:t>无偏离项得</w:t>
            </w:r>
            <w:r>
              <w:rPr>
                <w:rFonts w:ascii="微软雅黑" w:hAnsi="微软雅黑" w:eastAsia="微软雅黑" w:cs="微软雅黑"/>
                <w:b/>
                <w:bCs/>
                <w:kern w:val="0"/>
                <w:sz w:val="18"/>
                <w:szCs w:val="18"/>
                <w:lang w:bidi="ar"/>
              </w:rPr>
              <w:t>20</w:t>
            </w:r>
            <w:r>
              <w:rPr>
                <w:rFonts w:hint="eastAsia" w:ascii="微软雅黑" w:hAnsi="微软雅黑" w:eastAsia="微软雅黑" w:cs="微软雅黑"/>
                <w:b/>
                <w:bCs/>
                <w:kern w:val="0"/>
                <w:sz w:val="18"/>
                <w:szCs w:val="18"/>
                <w:lang w:bidi="ar"/>
              </w:rPr>
              <w:t>分</w:t>
            </w:r>
            <w:r>
              <w:rPr>
                <w:rFonts w:hint="eastAsia" w:ascii="微软雅黑" w:hAnsi="微软雅黑" w:eastAsia="微软雅黑" w:cs="微软雅黑"/>
                <w:kern w:val="0"/>
                <w:sz w:val="18"/>
                <w:szCs w:val="18"/>
                <w:lang w:bidi="ar"/>
              </w:rPr>
              <w:t>，普通项每负偏离1项扣</w:t>
            </w:r>
            <w:r>
              <w:rPr>
                <w:rFonts w:ascii="微软雅黑" w:hAnsi="微软雅黑" w:eastAsia="微软雅黑" w:cs="微软雅黑"/>
                <w:kern w:val="0"/>
                <w:sz w:val="18"/>
                <w:szCs w:val="18"/>
                <w:lang w:bidi="ar"/>
              </w:rPr>
              <w:t>1</w:t>
            </w:r>
            <w:r>
              <w:rPr>
                <w:rFonts w:hint="eastAsia" w:ascii="微软雅黑" w:hAnsi="微软雅黑" w:eastAsia="微软雅黑" w:cs="微软雅黑"/>
                <w:kern w:val="0"/>
                <w:sz w:val="18"/>
                <w:szCs w:val="18"/>
                <w:lang w:bidi="ar"/>
              </w:rPr>
              <w:t>分，扣完为止；</w:t>
            </w:r>
            <w:r>
              <w:rPr>
                <w:rFonts w:hint="eastAsia" w:ascii="微软雅黑" w:hAnsi="微软雅黑" w:eastAsia="微软雅黑" w:cs="微软雅黑"/>
                <w:b/>
                <w:bCs/>
                <w:kern w:val="0"/>
                <w:sz w:val="18"/>
                <w:szCs w:val="18"/>
                <w:lang w:bidi="ar"/>
              </w:rPr>
              <w:t>▲每符合一项增加</w:t>
            </w:r>
            <w:r>
              <w:rPr>
                <w:rFonts w:ascii="微软雅黑" w:hAnsi="微软雅黑" w:eastAsia="微软雅黑" w:cs="微软雅黑"/>
                <w:b/>
                <w:bCs/>
                <w:kern w:val="0"/>
                <w:sz w:val="18"/>
                <w:szCs w:val="18"/>
                <w:lang w:bidi="ar"/>
              </w:rPr>
              <w:t>1分</w:t>
            </w:r>
            <w:r>
              <w:rPr>
                <w:rFonts w:hint="eastAsia" w:ascii="微软雅黑" w:hAnsi="微软雅黑" w:eastAsia="微软雅黑" w:cs="微软雅黑"/>
                <w:kern w:val="0"/>
                <w:sz w:val="18"/>
                <w:szCs w:val="18"/>
                <w:lang w:bidi="ar"/>
              </w:rPr>
              <w:t>，最多加</w:t>
            </w:r>
            <w:r>
              <w:rPr>
                <w:rFonts w:ascii="微软雅黑" w:hAnsi="微软雅黑" w:eastAsia="微软雅黑" w:cs="微软雅黑"/>
                <w:kern w:val="0"/>
                <w:sz w:val="18"/>
                <w:szCs w:val="18"/>
                <w:lang w:bidi="ar"/>
              </w:rPr>
              <w:t>10分。</w:t>
            </w:r>
          </w:p>
        </w:tc>
        <w:tc>
          <w:tcPr>
            <w:tcW w:w="690"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30</w:t>
            </w:r>
          </w:p>
        </w:tc>
        <w:tc>
          <w:tcPr>
            <w:tcW w:w="567"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Borders>
              <w:top w:val="single" w:color="auto" w:sz="4" w:space="0"/>
            </w:tcBorders>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76" w:hRule="atLeast"/>
        </w:trPr>
        <w:tc>
          <w:tcPr>
            <w:tcW w:w="690" w:type="dxa"/>
            <w:vMerge w:val="continue"/>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22"/>
                <w:lang w:bidi="ar"/>
              </w:rPr>
            </w:pPr>
          </w:p>
        </w:tc>
        <w:tc>
          <w:tcPr>
            <w:tcW w:w="1055" w:type="dxa"/>
            <w:gridSpan w:val="2"/>
            <w:tcBorders>
              <w:top w:val="single" w:color="auto" w:sz="4" w:space="0"/>
            </w:tcBorders>
            <w:tcMar>
              <w:top w:w="15" w:type="dxa"/>
              <w:left w:w="15" w:type="dxa"/>
              <w:right w:w="15" w:type="dxa"/>
            </w:tcMar>
            <w:vAlign w:val="center"/>
          </w:tcPr>
          <w:p>
            <w:pPr>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厂商能力</w:t>
            </w:r>
          </w:p>
        </w:tc>
        <w:tc>
          <w:tcPr>
            <w:tcW w:w="5919" w:type="dxa"/>
            <w:tcBorders>
              <w:top w:val="single" w:color="auto" w:sz="4" w:space="0"/>
            </w:tcBorders>
            <w:tcMar>
              <w:top w:w="15" w:type="dxa"/>
              <w:left w:w="15" w:type="dxa"/>
              <w:right w:w="15" w:type="dxa"/>
            </w:tcMar>
            <w:vAlign w:val="center"/>
          </w:tcPr>
          <w:p>
            <w:pPr>
              <w:pStyle w:val="2"/>
              <w:numPr>
                <w:ilvl w:val="2"/>
                <w:numId w:val="49"/>
              </w:numPr>
              <w:ind w:left="351"/>
              <w:rPr>
                <w:rFonts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知名服务器主流厂商，中国X86服务器市场主导品牌（需提供近两年IDC发布的中国X86服务器年度出货量排名前五的有效证明）得2分，不满足不得分；</w:t>
            </w:r>
          </w:p>
          <w:p>
            <w:pPr>
              <w:pStyle w:val="2"/>
              <w:numPr>
                <w:ilvl w:val="2"/>
                <w:numId w:val="49"/>
              </w:numPr>
              <w:ind w:left="351"/>
              <w:rPr>
                <w:rFonts w:ascii="微软雅黑" w:hAnsi="微软雅黑" w:eastAsia="微软雅黑" w:cs="微软雅黑"/>
                <w:kern w:val="0"/>
                <w:sz w:val="18"/>
                <w:szCs w:val="18"/>
                <w:lang w:bidi="ar"/>
              </w:rPr>
            </w:pPr>
            <w:r>
              <w:rPr>
                <w:rFonts w:hint="eastAsia" w:ascii="微软雅黑" w:hAnsi="微软雅黑" w:eastAsia="微软雅黑" w:cs="微软雅黑"/>
                <w:b/>
                <w:color w:val="000000"/>
                <w:sz w:val="18"/>
                <w:szCs w:val="18"/>
              </w:rPr>
              <w:t>备份产品技术成熟、运行稳定，有较高的全球市场占有率，在中国市场被广泛使用。投标软件在最近连续3年内位于Gartner魔力象限图的领导者象限得3分，其它象限得2分，否则得0分。</w:t>
            </w:r>
          </w:p>
        </w:tc>
        <w:tc>
          <w:tcPr>
            <w:tcW w:w="690"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r>
              <w:rPr>
                <w:rFonts w:ascii="微软雅黑" w:hAnsi="微软雅黑" w:eastAsia="微软雅黑" w:cs="微软雅黑"/>
                <w:color w:val="000000"/>
                <w:sz w:val="18"/>
                <w:szCs w:val="18"/>
              </w:rPr>
              <w:t>5</w:t>
            </w:r>
          </w:p>
        </w:tc>
        <w:tc>
          <w:tcPr>
            <w:tcW w:w="567" w:type="dxa"/>
            <w:tcBorders>
              <w:top w:val="single" w:color="auto" w:sz="4" w:space="0"/>
            </w:tcBorders>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Borders>
              <w:top w:val="single" w:color="auto" w:sz="4" w:space="0"/>
            </w:tcBorders>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9" w:hRule="atLeast"/>
        </w:trPr>
        <w:tc>
          <w:tcPr>
            <w:tcW w:w="690" w:type="dxa"/>
            <w:vMerge w:val="continue"/>
            <w:tcBorders>
              <w:top w:val="single" w:color="auto" w:sz="4" w:space="0"/>
            </w:tcBorders>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p>
        </w:tc>
        <w:tc>
          <w:tcPr>
            <w:tcW w:w="1055" w:type="dxa"/>
            <w:gridSpan w:val="2"/>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方案整体设计及深化</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1、根据竞选方对项目背景、建设内容的理解情况、设计方案的合理性、科学性、可操作性进行综合评价</w:t>
            </w:r>
            <w:r>
              <w:rPr>
                <w:rFonts w:hint="eastAsia" w:ascii="微软雅黑" w:hAnsi="微软雅黑" w:eastAsia="微软雅黑" w:cs="微软雅黑"/>
                <w:color w:val="000000"/>
                <w:kern w:val="0"/>
                <w:sz w:val="18"/>
                <w:szCs w:val="18"/>
                <w:lang w:bidi="ar"/>
              </w:rPr>
              <w:t>；优：</w:t>
            </w:r>
            <w:r>
              <w:rPr>
                <w:rFonts w:ascii="微软雅黑" w:hAnsi="微软雅黑" w:eastAsia="微软雅黑" w:cs="微软雅黑"/>
                <w:color w:val="000000"/>
                <w:kern w:val="0"/>
                <w:sz w:val="18"/>
                <w:szCs w:val="18"/>
                <w:lang w:bidi="ar"/>
              </w:rPr>
              <w:t>5</w:t>
            </w:r>
            <w:r>
              <w:rPr>
                <w:rFonts w:hint="eastAsia" w:ascii="微软雅黑" w:hAnsi="微软雅黑" w:eastAsia="微软雅黑" w:cs="微软雅黑"/>
                <w:color w:val="000000"/>
                <w:kern w:val="0"/>
                <w:sz w:val="18"/>
                <w:szCs w:val="18"/>
                <w:lang w:bidi="ar"/>
              </w:rPr>
              <w:t>分，良：</w:t>
            </w:r>
            <w:r>
              <w:rPr>
                <w:rFonts w:ascii="微软雅黑" w:hAnsi="微软雅黑" w:eastAsia="微软雅黑" w:cs="微软雅黑"/>
                <w:color w:val="000000"/>
                <w:kern w:val="0"/>
                <w:sz w:val="18"/>
                <w:szCs w:val="18"/>
                <w:lang w:bidi="ar"/>
              </w:rPr>
              <w:t>3</w:t>
            </w:r>
            <w:r>
              <w:rPr>
                <w:rFonts w:hint="eastAsia" w:ascii="微软雅黑" w:hAnsi="微软雅黑" w:eastAsia="微软雅黑" w:cs="微软雅黑"/>
                <w:color w:val="000000"/>
                <w:kern w:val="0"/>
                <w:sz w:val="18"/>
                <w:szCs w:val="18"/>
                <w:lang w:bidi="ar"/>
              </w:rPr>
              <w:t>分，中：</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分，差：0分。</w:t>
            </w:r>
          </w:p>
          <w:p>
            <w:pPr>
              <w:widowControl/>
              <w:jc w:val="left"/>
              <w:textAlignment w:val="center"/>
              <w:rPr>
                <w:rFonts w:ascii="微软雅黑" w:hAnsi="微软雅黑" w:eastAsia="微软雅黑" w:cs="微软雅黑"/>
                <w:b/>
                <w:color w:val="000000"/>
                <w:sz w:val="18"/>
                <w:szCs w:val="18"/>
              </w:rPr>
            </w:pP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ascii="微软雅黑" w:hAnsi="微软雅黑" w:eastAsia="微软雅黑" w:cs="微软雅黑"/>
                <w:color w:val="000000"/>
                <w:kern w:val="0"/>
                <w:sz w:val="18"/>
                <w:szCs w:val="18"/>
                <w:lang w:bidi="ar"/>
              </w:rPr>
              <w:t>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40" w:hRule="atLeast"/>
        </w:trPr>
        <w:tc>
          <w:tcPr>
            <w:tcW w:w="690" w:type="dxa"/>
            <w:vMerge w:val="continue"/>
            <w:tcBorders>
              <w:top w:val="single" w:color="auto" w:sz="4" w:space="0"/>
            </w:tcBorders>
            <w:tcMar>
              <w:top w:w="15" w:type="dxa"/>
              <w:left w:w="15" w:type="dxa"/>
              <w:right w:w="15" w:type="dxa"/>
            </w:tcMar>
            <w:vAlign w:val="center"/>
          </w:tcPr>
          <w:p>
            <w:pPr>
              <w:jc w:val="center"/>
              <w:rPr>
                <w:rFonts w:ascii="微软雅黑" w:hAnsi="微软雅黑" w:eastAsia="微软雅黑" w:cs="微软雅黑"/>
                <w:b/>
                <w:color w:val="000000"/>
                <w:sz w:val="22"/>
              </w:rPr>
            </w:pPr>
          </w:p>
        </w:tc>
        <w:tc>
          <w:tcPr>
            <w:tcW w:w="1055" w:type="dxa"/>
            <w:gridSpan w:val="2"/>
            <w:tcMar>
              <w:top w:w="15" w:type="dxa"/>
              <w:left w:w="15" w:type="dxa"/>
              <w:right w:w="15" w:type="dxa"/>
            </w:tcMar>
            <w:vAlign w:val="center"/>
          </w:tcPr>
          <w:p>
            <w:pPr>
              <w:jc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sz w:val="18"/>
                <w:szCs w:val="18"/>
              </w:rPr>
              <w:t>售后服务</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2. 根据竞选方售后、培训服务方案的方案完整性、配套服务人员的配置、整机、备品配件储备、7*24小时服务时间响应、各子系统的售后及培训方案、服务响应方案、服务质量保障方案等进行综合评价得分。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“优”：提供完善的、合理的售后及培训方案、技术服务岗位人员的齐全配置架构和最佳服务响应安排、服务保障措施方案及三年质保服务方案等，得</w:t>
            </w:r>
            <w:r>
              <w:rPr>
                <w:rFonts w:ascii="微软雅黑" w:hAnsi="微软雅黑" w:eastAsia="微软雅黑" w:cs="微软雅黑"/>
                <w:color w:val="000000"/>
                <w:kern w:val="0"/>
                <w:sz w:val="18"/>
                <w:szCs w:val="18"/>
                <w:lang w:bidi="ar"/>
              </w:rPr>
              <w:t>5</w:t>
            </w:r>
            <w:r>
              <w:rPr>
                <w:rFonts w:hint="eastAsia" w:ascii="微软雅黑" w:hAnsi="微软雅黑" w:eastAsia="微软雅黑" w:cs="微软雅黑"/>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“良”：提供简单的售后及培训方案、服务人员配置架构和服务响应安排、服务保障措施方案及三年质保服务方案等，得</w:t>
            </w:r>
            <w:r>
              <w:rPr>
                <w:rFonts w:ascii="微软雅黑" w:hAnsi="微软雅黑" w:eastAsia="微软雅黑" w:cs="微软雅黑"/>
                <w:color w:val="000000"/>
                <w:kern w:val="0"/>
                <w:sz w:val="18"/>
                <w:szCs w:val="18"/>
                <w:lang w:bidi="ar"/>
              </w:rPr>
              <w:t>3</w:t>
            </w:r>
            <w:r>
              <w:rPr>
                <w:rFonts w:hint="eastAsia" w:ascii="微软雅黑" w:hAnsi="微软雅黑" w:eastAsia="微软雅黑" w:cs="微软雅黑"/>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“中”：提供较为简单的售后及培训方案、服务人员配置架构和服务响应安排、服务保障措施方案及三年质保服务方案等，得1分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“差”：未提供售后及培训方案、服务人员配置架构和服务响应安排、服务保障措施方案及三年质保服务方案且方案大部分内容达不到要求； 得0分</w:t>
            </w:r>
          </w:p>
        </w:tc>
        <w:tc>
          <w:tcPr>
            <w:tcW w:w="690" w:type="dxa"/>
            <w:noWrap/>
            <w:tcMar>
              <w:top w:w="15" w:type="dxa"/>
              <w:left w:w="15" w:type="dxa"/>
              <w:right w:w="15" w:type="dxa"/>
            </w:tcMar>
            <w:vAlign w:val="center"/>
          </w:tcPr>
          <w:p>
            <w:pPr>
              <w:jc w:val="center"/>
              <w:rPr>
                <w:rFonts w:ascii="微软雅黑" w:hAnsi="微软雅黑" w:eastAsia="微软雅黑" w:cs="微软雅黑"/>
                <w:bCs/>
                <w:color w:val="000000"/>
                <w:sz w:val="18"/>
                <w:szCs w:val="18"/>
              </w:rPr>
            </w:pPr>
            <w:r>
              <w:rPr>
                <w:rFonts w:ascii="微软雅黑" w:hAnsi="微软雅黑" w:eastAsia="微软雅黑" w:cs="微软雅黑"/>
                <w:bCs/>
                <w:color w:val="000000"/>
                <w:sz w:val="18"/>
                <w:szCs w:val="18"/>
              </w:rPr>
              <w:t>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5" w:hRule="atLeast"/>
        </w:trPr>
        <w:tc>
          <w:tcPr>
            <w:tcW w:w="699" w:type="dxa"/>
            <w:gridSpan w:val="2"/>
            <w:vMerge w:val="restart"/>
            <w:tcMar>
              <w:top w:w="15" w:type="dxa"/>
              <w:left w:w="15" w:type="dxa"/>
              <w:right w:w="15" w:type="dxa"/>
            </w:tcMar>
            <w:vAlign w:val="center"/>
          </w:tcPr>
          <w:p>
            <w:pPr>
              <w:jc w:val="left"/>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商务部分</w:t>
            </w:r>
          </w:p>
        </w:tc>
        <w:tc>
          <w:tcPr>
            <w:tcW w:w="1046"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价格</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1、所有符合合格投标方资格条件、且投标文件符合邀标文件规定的投标人，取其最终总报价的平均值，作为基准价。</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2、最终报价等于基准价时，报价得分为</w:t>
            </w:r>
            <w:r>
              <w:rPr>
                <w:rFonts w:ascii="微软雅黑" w:hAnsi="微软雅黑" w:eastAsia="微软雅黑" w:cs="微软雅黑"/>
                <w:b/>
                <w:color w:val="000000"/>
                <w:kern w:val="0"/>
                <w:sz w:val="18"/>
                <w:szCs w:val="18"/>
                <w:lang w:bidi="ar"/>
              </w:rPr>
              <w:t>15</w:t>
            </w:r>
            <w:r>
              <w:rPr>
                <w:rFonts w:hint="eastAsia" w:ascii="微软雅黑" w:hAnsi="微软雅黑" w:eastAsia="微软雅黑" w:cs="微软雅黑"/>
                <w:b/>
                <w:color w:val="000000"/>
                <w:kern w:val="0"/>
                <w:sz w:val="18"/>
                <w:szCs w:val="18"/>
                <w:lang w:bidi="ar"/>
              </w:rPr>
              <w:t>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3、最终报价每高于基准价1%，报价得分在</w:t>
            </w:r>
            <w:r>
              <w:rPr>
                <w:rFonts w:ascii="微软雅黑" w:hAnsi="微软雅黑" w:eastAsia="微软雅黑" w:cs="微软雅黑"/>
                <w:b/>
                <w:color w:val="000000"/>
                <w:kern w:val="0"/>
                <w:sz w:val="18"/>
                <w:szCs w:val="18"/>
                <w:lang w:bidi="ar"/>
              </w:rPr>
              <w:t>15</w:t>
            </w:r>
            <w:r>
              <w:rPr>
                <w:rFonts w:hint="eastAsia" w:ascii="微软雅黑" w:hAnsi="微软雅黑" w:eastAsia="微软雅黑" w:cs="微软雅黑"/>
                <w:b/>
                <w:color w:val="000000"/>
                <w:kern w:val="0"/>
                <w:sz w:val="18"/>
                <w:szCs w:val="18"/>
                <w:lang w:bidi="ar"/>
              </w:rPr>
              <w:t>分的基准上扣1分，最多扣</w:t>
            </w:r>
            <w:r>
              <w:rPr>
                <w:rFonts w:ascii="微软雅黑" w:hAnsi="微软雅黑" w:eastAsia="微软雅黑" w:cs="微软雅黑"/>
                <w:b/>
                <w:color w:val="000000"/>
                <w:kern w:val="0"/>
                <w:sz w:val="18"/>
                <w:szCs w:val="18"/>
                <w:lang w:bidi="ar"/>
              </w:rPr>
              <w:t>15</w:t>
            </w:r>
            <w:r>
              <w:rPr>
                <w:rFonts w:hint="eastAsia" w:ascii="微软雅黑" w:hAnsi="微软雅黑" w:eastAsia="微软雅黑" w:cs="微软雅黑"/>
                <w:b/>
                <w:color w:val="000000"/>
                <w:kern w:val="0"/>
                <w:sz w:val="18"/>
                <w:szCs w:val="18"/>
                <w:lang w:bidi="ar"/>
              </w:rPr>
              <w:t>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4、最终报价每低于基准价1%，报价得分在</w:t>
            </w:r>
            <w:r>
              <w:rPr>
                <w:rFonts w:ascii="微软雅黑" w:hAnsi="微软雅黑" w:eastAsia="微软雅黑" w:cs="微软雅黑"/>
                <w:b/>
                <w:color w:val="000000"/>
                <w:kern w:val="0"/>
                <w:sz w:val="18"/>
                <w:szCs w:val="18"/>
                <w:lang w:bidi="ar"/>
              </w:rPr>
              <w:t>15</w:t>
            </w:r>
            <w:r>
              <w:rPr>
                <w:rFonts w:hint="eastAsia" w:ascii="微软雅黑" w:hAnsi="微软雅黑" w:eastAsia="微软雅黑" w:cs="微软雅黑"/>
                <w:b/>
                <w:color w:val="000000"/>
                <w:kern w:val="0"/>
                <w:sz w:val="18"/>
                <w:szCs w:val="18"/>
                <w:lang w:bidi="ar"/>
              </w:rPr>
              <w:t>分的基准上加1分，最多加10分；</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5、最终报价低于基准价20%以上，需要签保证协议，确认可以在报价的基础完成我司需求，如不能完成，则需赔偿合同金额的50%给我司。</w:t>
            </w:r>
            <w:r>
              <w:rPr>
                <w:rFonts w:hint="eastAsia" w:ascii="微软雅黑" w:hAnsi="微软雅黑" w:eastAsia="微软雅黑" w:cs="微软雅黑"/>
                <w:b/>
                <w:color w:val="000000"/>
                <w:kern w:val="0"/>
                <w:sz w:val="18"/>
                <w:szCs w:val="18"/>
                <w:lang w:bidi="ar"/>
              </w:rPr>
              <w:br w:type="textWrapping"/>
            </w:r>
            <w:r>
              <w:rPr>
                <w:rFonts w:hint="eastAsia" w:ascii="微软雅黑" w:hAnsi="微软雅黑" w:eastAsia="微软雅黑" w:cs="微软雅黑"/>
                <w:b/>
                <w:color w:val="000000"/>
                <w:kern w:val="0"/>
                <w:sz w:val="18"/>
                <w:szCs w:val="18"/>
                <w:lang w:bidi="ar"/>
              </w:rPr>
              <w:t>6、价格最高者，在最后得分的基础上再扣</w:t>
            </w:r>
            <w:r>
              <w:rPr>
                <w:rFonts w:ascii="微软雅黑" w:hAnsi="微软雅黑" w:eastAsia="微软雅黑" w:cs="微软雅黑"/>
                <w:b/>
                <w:color w:val="000000"/>
                <w:kern w:val="0"/>
                <w:sz w:val="18"/>
                <w:szCs w:val="18"/>
                <w:lang w:bidi="ar"/>
              </w:rPr>
              <w:t>2</w:t>
            </w:r>
            <w:r>
              <w:rPr>
                <w:rFonts w:hint="eastAsia" w:ascii="微软雅黑" w:hAnsi="微软雅黑" w:eastAsia="微软雅黑" w:cs="微软雅黑"/>
                <w:b/>
                <w:color w:val="000000"/>
                <w:kern w:val="0"/>
                <w:sz w:val="18"/>
                <w:szCs w:val="18"/>
                <w:lang w:bidi="ar"/>
              </w:rPr>
              <w:t>分。</w:t>
            </w:r>
            <w:r>
              <w:rPr>
                <w:rFonts w:hint="eastAsia" w:ascii="微软雅黑" w:hAnsi="微软雅黑" w:eastAsia="微软雅黑" w:cs="微软雅黑"/>
                <w:color w:val="000000"/>
                <w:kern w:val="0"/>
                <w:sz w:val="18"/>
                <w:szCs w:val="18"/>
                <w:lang w:bidi="ar"/>
              </w:rPr>
              <w:br w:type="textWrapping"/>
            </w:r>
            <w:r>
              <w:rPr>
                <w:rFonts w:hint="eastAsia" w:ascii="微软雅黑" w:hAnsi="微软雅黑" w:eastAsia="微软雅黑" w:cs="微软雅黑"/>
                <w:color w:val="000000"/>
                <w:kern w:val="0"/>
                <w:sz w:val="18"/>
                <w:szCs w:val="18"/>
                <w:lang w:bidi="ar"/>
              </w:rPr>
              <w:t>注：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评标基准价为各家报价的平均分）</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ascii="微软雅黑" w:hAnsi="微软雅黑" w:eastAsia="微软雅黑" w:cs="微软雅黑"/>
                <w:color w:val="000000"/>
                <w:kern w:val="0"/>
                <w:sz w:val="18"/>
                <w:szCs w:val="18"/>
                <w:lang w:bidi="ar"/>
              </w:rPr>
              <w:t>25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8" w:hRule="atLeast"/>
        </w:trPr>
        <w:tc>
          <w:tcPr>
            <w:tcW w:w="699" w:type="dxa"/>
            <w:gridSpan w:val="2"/>
            <w:vMerge w:val="continue"/>
            <w:tcMar>
              <w:top w:w="15" w:type="dxa"/>
              <w:left w:w="15" w:type="dxa"/>
              <w:right w:w="15" w:type="dxa"/>
            </w:tcMar>
            <w:vAlign w:val="center"/>
          </w:tcPr>
          <w:p>
            <w:pPr>
              <w:jc w:val="left"/>
              <w:textAlignment w:val="center"/>
              <w:rPr>
                <w:rFonts w:ascii="微软雅黑" w:hAnsi="微软雅黑" w:eastAsia="微软雅黑" w:cs="微软雅黑"/>
                <w:b/>
                <w:color w:val="000000"/>
                <w:kern w:val="0"/>
                <w:sz w:val="22"/>
                <w:lang w:bidi="ar"/>
              </w:rPr>
            </w:pPr>
          </w:p>
        </w:tc>
        <w:tc>
          <w:tcPr>
            <w:tcW w:w="1046"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对招标文件商务条款及合同条款的响应程度</w:t>
            </w:r>
          </w:p>
        </w:tc>
        <w:tc>
          <w:tcPr>
            <w:tcW w:w="5919" w:type="dxa"/>
            <w:tcMar>
              <w:top w:w="15" w:type="dxa"/>
              <w:left w:w="15" w:type="dxa"/>
              <w:right w:w="15" w:type="dxa"/>
            </w:tcMar>
            <w:vAlign w:val="center"/>
          </w:tcPr>
          <w:p>
            <w:pPr>
              <w:widowControl/>
              <w:jc w:val="left"/>
              <w:textAlignment w:val="center"/>
              <w:rPr>
                <w:rFonts w:ascii="微软雅黑" w:hAnsi="微软雅黑" w:eastAsia="微软雅黑" w:cs="微软雅黑"/>
                <w:b/>
                <w:color w:val="000000"/>
                <w:kern w:val="0"/>
                <w:sz w:val="18"/>
                <w:szCs w:val="18"/>
                <w:lang w:bidi="ar"/>
              </w:rPr>
            </w:pPr>
            <w:r>
              <w:rPr>
                <w:rFonts w:hint="eastAsia" w:ascii="微软雅黑" w:hAnsi="微软雅黑" w:eastAsia="微软雅黑" w:cs="微软雅黑"/>
                <w:b/>
                <w:color w:val="000000"/>
                <w:kern w:val="0"/>
                <w:sz w:val="18"/>
                <w:szCs w:val="18"/>
                <w:lang w:bidi="ar"/>
              </w:rPr>
              <w:t>对招标文件商务条款及合同条款的响应程度。</w:t>
            </w:r>
            <w:r>
              <w:rPr>
                <w:rFonts w:hint="eastAsia" w:ascii="微软雅黑" w:hAnsi="微软雅黑" w:eastAsia="微软雅黑" w:cs="微软雅黑"/>
                <w:color w:val="000000"/>
                <w:kern w:val="0"/>
                <w:sz w:val="18"/>
                <w:szCs w:val="18"/>
                <w:lang w:bidi="ar"/>
              </w:rPr>
              <w:t>无偏离项得满分，每负偏离</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项扣1分，最多扣</w:t>
            </w:r>
            <w:r>
              <w:rPr>
                <w:rFonts w:ascii="微软雅黑" w:hAnsi="微软雅黑" w:eastAsia="微软雅黑" w:cs="微软雅黑"/>
                <w:color w:val="000000"/>
                <w:kern w:val="0"/>
                <w:sz w:val="18"/>
                <w:szCs w:val="18"/>
                <w:lang w:bidi="ar"/>
              </w:rPr>
              <w:t>5</w:t>
            </w:r>
            <w:r>
              <w:rPr>
                <w:rFonts w:hint="eastAsia" w:ascii="微软雅黑" w:hAnsi="微软雅黑" w:eastAsia="微软雅黑" w:cs="微软雅黑"/>
                <w:color w:val="000000"/>
                <w:kern w:val="0"/>
                <w:sz w:val="18"/>
                <w:szCs w:val="18"/>
                <w:lang w:bidi="ar"/>
              </w:rPr>
              <w:t>分。</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kern w:val="0"/>
                <w:sz w:val="18"/>
                <w:szCs w:val="18"/>
                <w:lang w:bidi="ar"/>
              </w:rPr>
            </w:pPr>
            <w:r>
              <w:rPr>
                <w:rFonts w:ascii="微软雅黑" w:hAnsi="微软雅黑" w:eastAsia="微软雅黑" w:cs="微软雅黑"/>
                <w:color w:val="000000"/>
                <w:kern w:val="0"/>
                <w:sz w:val="18"/>
                <w:szCs w:val="18"/>
                <w:lang w:bidi="ar"/>
              </w:rPr>
              <w:t>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9" w:hRule="atLeast"/>
        </w:trPr>
        <w:tc>
          <w:tcPr>
            <w:tcW w:w="699" w:type="dxa"/>
            <w:gridSpan w:val="2"/>
            <w:vMerge w:val="continue"/>
            <w:tcMar>
              <w:top w:w="15" w:type="dxa"/>
              <w:left w:w="15" w:type="dxa"/>
              <w:right w:w="15" w:type="dxa"/>
            </w:tcMar>
            <w:vAlign w:val="center"/>
          </w:tcPr>
          <w:p>
            <w:pPr>
              <w:widowControl/>
              <w:jc w:val="left"/>
              <w:textAlignment w:val="center"/>
              <w:rPr>
                <w:rFonts w:ascii="微软雅黑" w:hAnsi="微软雅黑" w:eastAsia="微软雅黑" w:cs="微软雅黑"/>
                <w:b/>
                <w:color w:val="000000"/>
                <w:sz w:val="22"/>
              </w:rPr>
            </w:pPr>
          </w:p>
        </w:tc>
        <w:tc>
          <w:tcPr>
            <w:tcW w:w="1046" w:type="dxa"/>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竞选方综合实力</w:t>
            </w:r>
          </w:p>
        </w:tc>
        <w:tc>
          <w:tcPr>
            <w:tcW w:w="5919" w:type="dxa"/>
            <w:tcMar>
              <w:top w:w="15" w:type="dxa"/>
              <w:left w:w="15" w:type="dxa"/>
              <w:right w:w="15" w:type="dxa"/>
            </w:tcMar>
            <w:vAlign w:val="center"/>
          </w:tcPr>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竞选方注册资金2000万以上、所投产品厂商符合私有云、公有云建设要求的。得3分，否则计0分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竞选方连续两年获得广东省“守合同重信用”企业的</w:t>
            </w:r>
            <w:r>
              <w:rPr>
                <w:rFonts w:hint="eastAsia" w:ascii="微软雅黑" w:hAnsi="微软雅黑" w:eastAsia="微软雅黑" w:cs="微软雅黑"/>
                <w:color w:val="000000"/>
                <w:kern w:val="0"/>
                <w:sz w:val="18"/>
                <w:szCs w:val="18"/>
                <w:lang w:bidi="ar"/>
              </w:rPr>
              <w:t>，</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竞选方获得纳税信用A级得</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竞选方获得高新技术企业证书得</w:t>
            </w:r>
            <w:r>
              <w:rPr>
                <w:rFonts w:ascii="微软雅黑" w:hAnsi="微软雅黑" w:eastAsia="微软雅黑" w:cs="微软雅黑"/>
                <w:color w:val="000000"/>
                <w:kern w:val="0"/>
                <w:sz w:val="18"/>
                <w:szCs w:val="18"/>
                <w:lang w:bidi="ar"/>
              </w:rPr>
              <w:t>1</w:t>
            </w:r>
            <w:r>
              <w:rPr>
                <w:rFonts w:hint="eastAsia" w:ascii="微软雅黑" w:hAnsi="微软雅黑" w:eastAsia="微软雅黑" w:cs="微软雅黑"/>
                <w:color w:val="000000"/>
                <w:kern w:val="0"/>
                <w:sz w:val="18"/>
                <w:szCs w:val="18"/>
                <w:lang w:bidi="ar"/>
              </w:rPr>
              <w:t>分，否则计0分。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竞选方201</w:t>
            </w:r>
            <w:r>
              <w:rPr>
                <w:rFonts w:ascii="微软雅黑" w:hAnsi="微软雅黑" w:eastAsia="微软雅黑" w:cs="微软雅黑"/>
                <w:b/>
                <w:color w:val="000000"/>
                <w:kern w:val="0"/>
                <w:sz w:val="18"/>
                <w:szCs w:val="18"/>
                <w:lang w:bidi="ar"/>
              </w:rPr>
              <w:t>7</w:t>
            </w:r>
            <w:r>
              <w:rPr>
                <w:rFonts w:hint="eastAsia" w:ascii="微软雅黑" w:hAnsi="微软雅黑" w:eastAsia="微软雅黑" w:cs="微软雅黑"/>
                <w:b/>
                <w:color w:val="000000"/>
                <w:kern w:val="0"/>
                <w:sz w:val="18"/>
                <w:szCs w:val="18"/>
                <w:lang w:bidi="ar"/>
              </w:rPr>
              <w:t>、201</w:t>
            </w:r>
            <w:r>
              <w:rPr>
                <w:rFonts w:ascii="微软雅黑" w:hAnsi="微软雅黑" w:eastAsia="微软雅黑" w:cs="微软雅黑"/>
                <w:b/>
                <w:color w:val="000000"/>
                <w:kern w:val="0"/>
                <w:sz w:val="18"/>
                <w:szCs w:val="18"/>
                <w:lang w:bidi="ar"/>
              </w:rPr>
              <w:t>8</w:t>
            </w:r>
            <w:r>
              <w:rPr>
                <w:rFonts w:hint="eastAsia" w:ascii="微软雅黑" w:hAnsi="微软雅黑" w:eastAsia="微软雅黑" w:cs="微软雅黑"/>
                <w:b/>
                <w:color w:val="000000"/>
                <w:kern w:val="0"/>
                <w:sz w:val="18"/>
                <w:szCs w:val="18"/>
                <w:lang w:bidi="ar"/>
              </w:rPr>
              <w:t>、201</w:t>
            </w:r>
            <w:r>
              <w:rPr>
                <w:rFonts w:ascii="微软雅黑" w:hAnsi="微软雅黑" w:eastAsia="微软雅黑" w:cs="微软雅黑"/>
                <w:b/>
                <w:color w:val="000000"/>
                <w:kern w:val="0"/>
                <w:sz w:val="18"/>
                <w:szCs w:val="18"/>
                <w:lang w:bidi="ar"/>
              </w:rPr>
              <w:t>9</w:t>
            </w:r>
            <w:r>
              <w:rPr>
                <w:rFonts w:hint="eastAsia" w:ascii="微软雅黑" w:hAnsi="微软雅黑" w:eastAsia="微软雅黑" w:cs="微软雅黑"/>
                <w:b/>
                <w:color w:val="000000"/>
                <w:kern w:val="0"/>
                <w:sz w:val="18"/>
                <w:szCs w:val="18"/>
                <w:lang w:bidi="ar"/>
              </w:rPr>
              <w:t>年度盈利状况，三年都盈利得</w:t>
            </w:r>
            <w:r>
              <w:rPr>
                <w:rFonts w:hint="eastAsia" w:ascii="微软雅黑" w:hAnsi="微软雅黑" w:eastAsia="微软雅黑" w:cs="微软雅黑"/>
                <w:color w:val="000000"/>
                <w:kern w:val="0"/>
                <w:sz w:val="18"/>
                <w:szCs w:val="18"/>
                <w:lang w:bidi="ar"/>
              </w:rPr>
              <w:t>2分，否则计0分。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竞选方获得质量管理体系、环境管理体系、信息安全管理体系认证证书、</w:t>
            </w:r>
            <w:r>
              <w:rPr>
                <w:rFonts w:hint="eastAsia" w:ascii="微软雅黑" w:hAnsi="微软雅黑" w:eastAsia="微软雅黑" w:cs="微软雅黑"/>
                <w:color w:val="000000"/>
                <w:kern w:val="0"/>
                <w:sz w:val="18"/>
                <w:szCs w:val="18"/>
                <w:lang w:bidi="ar"/>
              </w:rPr>
              <w:t>，有全部证书得</w:t>
            </w:r>
            <w:r>
              <w:rPr>
                <w:rFonts w:ascii="微软雅黑" w:hAnsi="微软雅黑" w:eastAsia="微软雅黑" w:cs="微软雅黑"/>
                <w:color w:val="000000"/>
                <w:kern w:val="0"/>
                <w:sz w:val="18"/>
                <w:szCs w:val="18"/>
                <w:lang w:bidi="ar"/>
              </w:rPr>
              <w:t>2</w:t>
            </w:r>
            <w:r>
              <w:rPr>
                <w:rFonts w:hint="eastAsia" w:ascii="微软雅黑" w:hAnsi="微软雅黑" w:eastAsia="微软雅黑" w:cs="微软雅黑"/>
                <w:color w:val="000000"/>
                <w:kern w:val="0"/>
                <w:sz w:val="18"/>
                <w:szCs w:val="18"/>
                <w:lang w:bidi="ar"/>
              </w:rPr>
              <w:t>分，否则计0分。</w:t>
            </w:r>
          </w:p>
          <w:p>
            <w:pPr>
              <w:pStyle w:val="60"/>
              <w:widowControl/>
              <w:numPr>
                <w:ilvl w:val="2"/>
                <w:numId w:val="52"/>
              </w:numPr>
              <w:ind w:firstLineChars="0"/>
              <w:jc w:val="left"/>
              <w:textAlignment w:val="center"/>
              <w:rPr>
                <w:rFonts w:ascii="微软雅黑" w:hAnsi="微软雅黑" w:eastAsia="微软雅黑" w:cs="微软雅黑"/>
                <w:b/>
                <w:sz w:val="18"/>
                <w:szCs w:val="18"/>
              </w:rPr>
            </w:pPr>
            <w:r>
              <w:rPr>
                <w:rFonts w:hint="eastAsia" w:ascii="微软雅黑" w:hAnsi="微软雅黑" w:eastAsia="微软雅黑" w:cs="微软雅黑"/>
                <w:b/>
                <w:kern w:val="0"/>
                <w:sz w:val="18"/>
                <w:szCs w:val="18"/>
                <w:lang w:bidi="ar"/>
              </w:rPr>
              <w:t>竞选方具有PMP项目经理证书得2分，否则计0分。</w:t>
            </w:r>
          </w:p>
          <w:p>
            <w:pPr>
              <w:pStyle w:val="60"/>
              <w:widowControl/>
              <w:numPr>
                <w:ilvl w:val="2"/>
                <w:numId w:val="52"/>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至少3人具有中级或以上信息技术工程师证书；每3个得1分 ，最高</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分，否则计0分</w:t>
            </w:r>
          </w:p>
          <w:p>
            <w:pPr>
              <w:pStyle w:val="60"/>
              <w:widowControl/>
              <w:numPr>
                <w:ilvl w:val="2"/>
                <w:numId w:val="52"/>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w:t>
            </w:r>
            <w:r>
              <w:rPr>
                <w:rFonts w:ascii="微软雅黑" w:hAnsi="微软雅黑" w:eastAsia="微软雅黑" w:cs="微软雅黑"/>
                <w:b/>
                <w:kern w:val="0"/>
                <w:sz w:val="18"/>
                <w:szCs w:val="18"/>
                <w:lang w:bidi="ar"/>
              </w:rPr>
              <w:t>1</w:t>
            </w:r>
            <w:r>
              <w:rPr>
                <w:rFonts w:hint="eastAsia" w:ascii="微软雅黑" w:hAnsi="微软雅黑" w:eastAsia="微软雅黑" w:cs="微软雅黑"/>
                <w:b/>
                <w:kern w:val="0"/>
                <w:sz w:val="18"/>
                <w:szCs w:val="18"/>
                <w:lang w:bidi="ar"/>
              </w:rPr>
              <w:t>人具有系统集成项目管理工程师中级或以上证书；每个</w:t>
            </w:r>
            <w:r>
              <w:rPr>
                <w:rFonts w:ascii="微软雅黑" w:hAnsi="微软雅黑" w:eastAsia="微软雅黑" w:cs="微软雅黑"/>
                <w:b/>
                <w:kern w:val="0"/>
                <w:sz w:val="18"/>
                <w:szCs w:val="18"/>
                <w:lang w:bidi="ar"/>
              </w:rPr>
              <w:t>1</w:t>
            </w:r>
            <w:r>
              <w:rPr>
                <w:rFonts w:hint="eastAsia" w:ascii="微软雅黑" w:hAnsi="微软雅黑" w:eastAsia="微软雅黑" w:cs="微软雅黑"/>
                <w:b/>
                <w:kern w:val="0"/>
                <w:sz w:val="18"/>
                <w:szCs w:val="18"/>
                <w:lang w:bidi="ar"/>
              </w:rPr>
              <w:t>分，最多</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分，否则0分</w:t>
            </w:r>
          </w:p>
          <w:p>
            <w:pPr>
              <w:pStyle w:val="60"/>
              <w:widowControl/>
              <w:numPr>
                <w:ilvl w:val="2"/>
                <w:numId w:val="52"/>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至少3人具有信息系统集成及服务项目管理人员证书；每3个得1分，最高</w:t>
            </w:r>
            <w:r>
              <w:rPr>
                <w:rFonts w:ascii="微软雅黑" w:hAnsi="微软雅黑" w:eastAsia="微软雅黑" w:cs="微软雅黑"/>
                <w:b/>
                <w:kern w:val="0"/>
                <w:sz w:val="18"/>
                <w:szCs w:val="18"/>
                <w:lang w:bidi="ar"/>
              </w:rPr>
              <w:t>2</w:t>
            </w:r>
            <w:r>
              <w:rPr>
                <w:rFonts w:hint="eastAsia" w:ascii="微软雅黑" w:hAnsi="微软雅黑" w:eastAsia="微软雅黑" w:cs="微软雅黑"/>
                <w:b/>
                <w:kern w:val="0"/>
                <w:sz w:val="18"/>
                <w:szCs w:val="18"/>
                <w:lang w:bidi="ar"/>
              </w:rPr>
              <w:t>分，否则0分</w:t>
            </w:r>
          </w:p>
          <w:p>
            <w:pPr>
              <w:pStyle w:val="60"/>
              <w:widowControl/>
              <w:numPr>
                <w:ilvl w:val="2"/>
                <w:numId w:val="52"/>
              </w:numPr>
              <w:ind w:firstLineChars="0"/>
              <w:jc w:val="left"/>
              <w:textAlignment w:val="center"/>
              <w:rPr>
                <w:rFonts w:ascii="微软雅黑" w:hAnsi="微软雅黑" w:eastAsia="微软雅黑" w:cs="微软雅黑"/>
                <w:b/>
                <w:kern w:val="0"/>
                <w:sz w:val="18"/>
                <w:szCs w:val="18"/>
                <w:lang w:bidi="ar"/>
              </w:rPr>
            </w:pPr>
            <w:r>
              <w:rPr>
                <w:rFonts w:hint="eastAsia" w:ascii="微软雅黑" w:hAnsi="微软雅黑" w:eastAsia="微软雅黑" w:cs="微软雅黑"/>
                <w:b/>
                <w:kern w:val="0"/>
                <w:sz w:val="18"/>
                <w:szCs w:val="18"/>
                <w:lang w:bidi="ar"/>
              </w:rPr>
              <w:t>竞选方建设实施过的超过</w:t>
            </w:r>
            <w:r>
              <w:rPr>
                <w:rFonts w:ascii="微软雅黑" w:hAnsi="微软雅黑" w:eastAsia="微软雅黑" w:cs="微软雅黑"/>
                <w:b/>
                <w:kern w:val="0"/>
                <w:sz w:val="18"/>
                <w:szCs w:val="18"/>
                <w:lang w:bidi="ar"/>
              </w:rPr>
              <w:t>200</w:t>
            </w:r>
            <w:r>
              <w:rPr>
                <w:rFonts w:hint="eastAsia" w:ascii="微软雅黑" w:hAnsi="微软雅黑" w:eastAsia="微软雅黑" w:cs="微软雅黑"/>
                <w:b/>
                <w:kern w:val="0"/>
                <w:sz w:val="18"/>
                <w:szCs w:val="18"/>
                <w:lang w:bidi="ar"/>
              </w:rPr>
              <w:t>万元的云建设项目案例，提供1个得2分，最高得5分，否则计0分。提供合同复印件加盖公章作为评分依据，不提供不得分。</w:t>
            </w:r>
          </w:p>
          <w:p>
            <w:pPr>
              <w:pStyle w:val="60"/>
              <w:widowControl/>
              <w:numPr>
                <w:ilvl w:val="2"/>
                <w:numId w:val="52"/>
              </w:numPr>
              <w:ind w:firstLineChars="0"/>
              <w:jc w:val="left"/>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 xml:space="preserve"> 投标人在项目实施地或紧邻城市设有机构，机构需提供营业执照或自有房产证或租赁合同的复印件，同时提供机构办公场所的照片。提供以上所有材料；</w:t>
            </w:r>
            <w:r>
              <w:rPr>
                <w:rFonts w:hint="eastAsia" w:ascii="微软雅黑" w:hAnsi="微软雅黑" w:eastAsia="微软雅黑" w:cs="微软雅黑"/>
                <w:color w:val="000000"/>
                <w:kern w:val="0"/>
                <w:sz w:val="18"/>
                <w:szCs w:val="18"/>
                <w:lang w:bidi="ar"/>
              </w:rPr>
              <w:t>得2分，否则计0分。</w:t>
            </w:r>
          </w:p>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注1、提供上述人员相关职称或资格证书，提供资料不齐全不得分。</w:t>
            </w:r>
          </w:p>
          <w:p>
            <w:pPr>
              <w:widowControl/>
              <w:jc w:val="left"/>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注</w:t>
            </w:r>
            <w:r>
              <w:rPr>
                <w:rFonts w:ascii="微软雅黑" w:hAnsi="微软雅黑" w:eastAsia="微软雅黑" w:cs="微软雅黑"/>
                <w:color w:val="000000"/>
                <w:kern w:val="0"/>
                <w:sz w:val="18"/>
                <w:szCs w:val="18"/>
                <w:lang w:bidi="ar"/>
              </w:rPr>
              <w:t>2</w:t>
            </w:r>
            <w:r>
              <w:rPr>
                <w:rFonts w:hint="eastAsia" w:ascii="微软雅黑" w:hAnsi="微软雅黑" w:eastAsia="微软雅黑" w:cs="微软雅黑"/>
                <w:color w:val="000000"/>
                <w:kern w:val="0"/>
                <w:sz w:val="18"/>
                <w:szCs w:val="18"/>
                <w:lang w:bidi="ar"/>
              </w:rPr>
              <w:t>、竞选方须提供相关证书及竞选方缴纳近六个月社保缴交凭证，凭证须由社保部门加盖业务专用章，不提供不得分。提供证书复印件加盖公章作为评分依据，不提供不得分。</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ascii="微软雅黑" w:hAnsi="微软雅黑" w:eastAsia="微软雅黑" w:cs="微软雅黑"/>
                <w:color w:val="000000"/>
                <w:kern w:val="0"/>
                <w:sz w:val="18"/>
                <w:szCs w:val="18"/>
                <w:lang w:bidi="ar"/>
              </w:rPr>
              <w:t>25</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tcMar>
              <w:top w:w="15" w:type="dxa"/>
              <w:left w:w="15" w:type="dxa"/>
              <w:right w:w="15" w:type="dxa"/>
            </w:tcMar>
            <w:vAlign w:val="center"/>
          </w:tcPr>
          <w:p>
            <w:pPr>
              <w:jc w:val="center"/>
              <w:rPr>
                <w:rFonts w:ascii="微软雅黑" w:hAnsi="微软雅黑" w:eastAsia="微软雅黑" w:cs="微软雅黑"/>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5" w:hRule="atLeast"/>
        </w:trPr>
        <w:tc>
          <w:tcPr>
            <w:tcW w:w="699" w:type="dxa"/>
            <w:gridSpan w:val="2"/>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22"/>
              </w:rPr>
            </w:pPr>
            <w:r>
              <w:rPr>
                <w:rFonts w:hint="eastAsia" w:ascii="微软雅黑" w:hAnsi="微软雅黑" w:eastAsia="微软雅黑" w:cs="微软雅黑"/>
                <w:b/>
                <w:color w:val="000000"/>
                <w:kern w:val="0"/>
                <w:sz w:val="22"/>
                <w:lang w:bidi="ar"/>
              </w:rPr>
              <w:t>合计</w:t>
            </w:r>
          </w:p>
        </w:tc>
        <w:tc>
          <w:tcPr>
            <w:tcW w:w="1046" w:type="dxa"/>
            <w:noWrap/>
            <w:tcMar>
              <w:top w:w="15" w:type="dxa"/>
              <w:left w:w="15" w:type="dxa"/>
              <w:right w:w="15" w:type="dxa"/>
            </w:tcMar>
            <w:vAlign w:val="center"/>
          </w:tcPr>
          <w:p>
            <w:pPr>
              <w:widowControl/>
              <w:jc w:val="center"/>
              <w:textAlignment w:val="center"/>
              <w:rPr>
                <w:rFonts w:ascii="微软雅黑" w:hAnsi="微软雅黑" w:eastAsia="微软雅黑" w:cs="微软雅黑"/>
                <w:b/>
                <w:color w:val="000000"/>
                <w:sz w:val="18"/>
                <w:szCs w:val="18"/>
              </w:rPr>
            </w:pPr>
            <w:r>
              <w:rPr>
                <w:rFonts w:hint="eastAsia" w:ascii="微软雅黑" w:hAnsi="微软雅黑" w:eastAsia="微软雅黑" w:cs="微软雅黑"/>
                <w:b/>
                <w:color w:val="000000"/>
                <w:kern w:val="0"/>
                <w:sz w:val="18"/>
                <w:szCs w:val="18"/>
                <w:lang w:bidi="ar"/>
              </w:rPr>
              <w:t>竞选方</w:t>
            </w:r>
          </w:p>
        </w:tc>
        <w:tc>
          <w:tcPr>
            <w:tcW w:w="5919"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 xml:space="preserve">“优”【100~90】“良”【89-70】“中”【69-60】“差”【60以下】    </w:t>
            </w:r>
          </w:p>
        </w:tc>
        <w:tc>
          <w:tcPr>
            <w:tcW w:w="690" w:type="dxa"/>
            <w:noWrap/>
            <w:tcMar>
              <w:top w:w="15" w:type="dxa"/>
              <w:left w:w="15" w:type="dxa"/>
              <w:right w:w="15" w:type="dxa"/>
            </w:tcMar>
            <w:vAlign w:val="center"/>
          </w:tcPr>
          <w:p>
            <w:pPr>
              <w:widowControl/>
              <w:jc w:val="center"/>
              <w:textAlignment w:val="center"/>
              <w:rPr>
                <w:rFonts w:ascii="微软雅黑" w:hAnsi="微软雅黑" w:eastAsia="微软雅黑" w:cs="微软雅黑"/>
                <w:color w:val="000000"/>
                <w:sz w:val="18"/>
                <w:szCs w:val="18"/>
              </w:rPr>
            </w:pPr>
            <w:r>
              <w:rPr>
                <w:rFonts w:hint="eastAsia" w:ascii="微软雅黑" w:hAnsi="微软雅黑" w:eastAsia="微软雅黑" w:cs="微软雅黑"/>
                <w:color w:val="000000"/>
                <w:kern w:val="0"/>
                <w:sz w:val="18"/>
                <w:szCs w:val="18"/>
                <w:lang w:bidi="ar"/>
              </w:rPr>
              <w:t>100</w:t>
            </w:r>
          </w:p>
        </w:tc>
        <w:tc>
          <w:tcPr>
            <w:tcW w:w="567" w:type="dxa"/>
            <w:noWrap/>
            <w:tcMar>
              <w:top w:w="15" w:type="dxa"/>
              <w:left w:w="15" w:type="dxa"/>
              <w:right w:w="15" w:type="dxa"/>
            </w:tcMar>
            <w:vAlign w:val="center"/>
          </w:tcPr>
          <w:p>
            <w:pPr>
              <w:jc w:val="center"/>
              <w:rPr>
                <w:rFonts w:ascii="微软雅黑" w:hAnsi="微软雅黑" w:eastAsia="微软雅黑" w:cs="微软雅黑"/>
                <w:color w:val="000000"/>
                <w:sz w:val="18"/>
                <w:szCs w:val="18"/>
              </w:rPr>
            </w:pPr>
          </w:p>
        </w:tc>
        <w:tc>
          <w:tcPr>
            <w:tcW w:w="708" w:type="dxa"/>
            <w:noWrap/>
            <w:tcMar>
              <w:top w:w="15" w:type="dxa"/>
              <w:left w:w="15" w:type="dxa"/>
              <w:right w:w="15" w:type="dxa"/>
            </w:tcMar>
            <w:vAlign w:val="center"/>
          </w:tcPr>
          <w:p>
            <w:pPr>
              <w:rPr>
                <w:rFonts w:ascii="宋体" w:hAnsi="宋体" w:cs="宋体"/>
                <w:color w:val="000000"/>
                <w:sz w:val="22"/>
              </w:rPr>
            </w:pPr>
          </w:p>
        </w:tc>
      </w:tr>
    </w:tbl>
    <w:p/>
    <w:p/>
    <w:p/>
    <w:p>
      <w:pPr>
        <w:pStyle w:val="11"/>
      </w:pPr>
    </w:p>
    <w:p>
      <w:pPr>
        <w:pStyle w:val="3"/>
        <w:keepNext w:val="0"/>
        <w:keepLines w:val="0"/>
        <w:pageBreakBefore/>
        <w:spacing w:line="360" w:lineRule="auto"/>
        <w:jc w:val="center"/>
        <w:rPr>
          <w:rFonts w:ascii="宋体" w:hAnsi="宋体"/>
          <w:sz w:val="30"/>
          <w:szCs w:val="30"/>
        </w:rPr>
      </w:pPr>
      <w:bookmarkStart w:id="173" w:name="_Toc23259188"/>
      <w:bookmarkStart w:id="174" w:name="_Toc52888967"/>
      <w:bookmarkStart w:id="175" w:name="_Toc23259388"/>
      <w:bookmarkStart w:id="176" w:name="_Toc25860389"/>
      <w:bookmarkStart w:id="177" w:name="_Toc6349"/>
      <w:r>
        <w:rPr>
          <w:rFonts w:hint="eastAsia" w:ascii="宋体" w:hAnsi="宋体"/>
          <w:sz w:val="30"/>
          <w:szCs w:val="30"/>
        </w:rPr>
        <w:t>第五部分  招标文件附件</w:t>
      </w:r>
      <w:bookmarkEnd w:id="165"/>
      <w:bookmarkEnd w:id="173"/>
      <w:bookmarkEnd w:id="174"/>
      <w:bookmarkEnd w:id="175"/>
      <w:bookmarkEnd w:id="176"/>
      <w:bookmarkEnd w:id="177"/>
    </w:p>
    <w:p>
      <w:pPr>
        <w:spacing w:line="360" w:lineRule="auto"/>
        <w:rPr>
          <w:rFonts w:ascii="宋体" w:hAnsi="宋体"/>
        </w:rPr>
      </w:pPr>
      <w:r>
        <w:rPr>
          <w:rFonts w:hint="eastAsia" w:ascii="宋体" w:hAnsi="宋体"/>
        </w:rPr>
        <w:t>附件1：投标文件封面格式（商务标）</w:t>
      </w:r>
    </w:p>
    <w:p>
      <w:pPr>
        <w:spacing w:line="360" w:lineRule="auto"/>
        <w:rPr>
          <w:rFonts w:ascii="宋体" w:hAnsi="宋体"/>
        </w:rPr>
      </w:pPr>
      <w:r>
        <w:rPr>
          <w:rFonts w:hint="eastAsia" w:ascii="宋体" w:hAnsi="宋体"/>
        </w:rPr>
        <w:t>附件</w:t>
      </w:r>
      <w:r>
        <w:rPr>
          <w:rFonts w:ascii="宋体" w:hAnsi="宋体"/>
        </w:rPr>
        <w:t>2</w:t>
      </w:r>
      <w:r>
        <w:rPr>
          <w:rFonts w:hint="eastAsia" w:ascii="宋体" w:hAnsi="宋体"/>
        </w:rPr>
        <w:t>：投标文件封面格式（技术标）</w:t>
      </w:r>
    </w:p>
    <w:p>
      <w:pPr>
        <w:spacing w:line="360" w:lineRule="auto"/>
        <w:rPr>
          <w:rFonts w:ascii="宋体" w:hAnsi="宋体"/>
        </w:rPr>
      </w:pPr>
      <w:r>
        <w:rPr>
          <w:rFonts w:hint="eastAsia" w:ascii="宋体" w:hAnsi="宋体"/>
        </w:rPr>
        <w:t>附件</w:t>
      </w:r>
      <w:r>
        <w:rPr>
          <w:rFonts w:ascii="宋体" w:hAnsi="宋体"/>
        </w:rPr>
        <w:t>3</w:t>
      </w:r>
      <w:r>
        <w:rPr>
          <w:rFonts w:hint="eastAsia" w:ascii="宋体" w:hAnsi="宋体"/>
        </w:rPr>
        <w:t>：投标书格式</w:t>
      </w:r>
    </w:p>
    <w:p>
      <w:pPr>
        <w:spacing w:line="360" w:lineRule="auto"/>
        <w:jc w:val="center"/>
        <w:rPr>
          <w:rFonts w:ascii="宋体" w:hAnsi="宋体"/>
        </w:rPr>
      </w:pPr>
    </w:p>
    <w:p>
      <w:pPr>
        <w:spacing w:line="360" w:lineRule="auto"/>
      </w:pPr>
    </w:p>
    <w:p>
      <w:pPr>
        <w:spacing w:line="360" w:lineRule="auto"/>
      </w:pPr>
    </w:p>
    <w:p>
      <w:pPr>
        <w:pStyle w:val="4"/>
        <w:keepNext w:val="0"/>
        <w:keepLines w:val="0"/>
        <w:pageBreakBefore/>
        <w:spacing w:line="360" w:lineRule="auto"/>
        <w:rPr>
          <w:rFonts w:eastAsia="宋体"/>
          <w:sz w:val="24"/>
          <w:szCs w:val="24"/>
        </w:rPr>
      </w:pPr>
      <w:bookmarkStart w:id="178" w:name="_Toc1457"/>
      <w:bookmarkStart w:id="179" w:name="_Toc23259189"/>
      <w:bookmarkStart w:id="180" w:name="_Toc52888968"/>
      <w:bookmarkStart w:id="181" w:name="_Toc23259389"/>
      <w:bookmarkStart w:id="182" w:name="_Toc14735"/>
      <w:bookmarkStart w:id="183" w:name="_Toc25860390"/>
      <w:r>
        <w:rPr>
          <w:rFonts w:hint="eastAsia" w:eastAsia="宋体"/>
          <w:sz w:val="24"/>
          <w:szCs w:val="24"/>
        </w:rPr>
        <w:t>附件1：投标文件封面格式（商务标）</w:t>
      </w:r>
      <w:bookmarkEnd w:id="178"/>
      <w:bookmarkEnd w:id="179"/>
      <w:bookmarkEnd w:id="180"/>
      <w:bookmarkEnd w:id="181"/>
      <w:bookmarkEnd w:id="182"/>
      <w:bookmarkEnd w:id="183"/>
    </w:p>
    <w:p>
      <w:pPr>
        <w:spacing w:line="360" w:lineRule="auto"/>
        <w:jc w:val="right"/>
        <w:rPr>
          <w:rFonts w:ascii="宋体" w:hAnsi="宋体"/>
          <w:b/>
          <w:bCs/>
          <w:sz w:val="28"/>
          <w:szCs w:val="28"/>
        </w:rPr>
      </w:pPr>
      <w:r>
        <w:rPr>
          <w:rFonts w:hint="eastAsia" w:ascii="宋体" w:hAnsi="宋体"/>
          <w:b/>
          <w:bCs/>
          <w:sz w:val="28"/>
          <w:szCs w:val="28"/>
        </w:rPr>
        <w:t>正本（副本）</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72"/>
          <w:szCs w:val="72"/>
        </w:rPr>
      </w:pPr>
      <w:r>
        <w:rPr>
          <w:rFonts w:hint="eastAsia" w:ascii="宋体" w:hAnsi="宋体"/>
          <w:b/>
          <w:bCs/>
          <w:sz w:val="72"/>
          <w:szCs w:val="72"/>
        </w:rPr>
        <w:t>数据中心建设项目</w:t>
      </w:r>
    </w:p>
    <w:p>
      <w:pPr>
        <w:pStyle w:val="2"/>
        <w:jc w:val="center"/>
      </w:pPr>
      <w:r>
        <w:rPr>
          <w:rFonts w:hint="eastAsia" w:hAnsi="宋体"/>
          <w:b/>
          <w:bCs/>
          <w:sz w:val="72"/>
          <w:szCs w:val="72"/>
        </w:rPr>
        <w:t>（服务器、备份设备）</w:t>
      </w:r>
    </w:p>
    <w:p>
      <w:pPr>
        <w:spacing w:line="360" w:lineRule="auto"/>
        <w:jc w:val="center"/>
        <w:rPr>
          <w:rFonts w:ascii="宋体" w:hAnsi="宋体"/>
          <w:b/>
          <w:bCs/>
          <w:sz w:val="36"/>
          <w:szCs w:val="36"/>
        </w:rPr>
      </w:pPr>
    </w:p>
    <w:p>
      <w:pPr>
        <w:spacing w:line="360" w:lineRule="auto"/>
        <w:ind w:left="223" w:leftChars="-344" w:right="-903" w:rightChars="-430" w:hanging="945" w:hangingChars="181"/>
        <w:jc w:val="center"/>
        <w:rPr>
          <w:rFonts w:ascii="宋体" w:hAnsi="宋体"/>
          <w:b/>
          <w:bCs/>
          <w:sz w:val="52"/>
          <w:szCs w:val="20"/>
        </w:rPr>
      </w:pPr>
    </w:p>
    <w:p>
      <w:pPr>
        <w:spacing w:line="360" w:lineRule="auto"/>
        <w:ind w:right="-903" w:rightChars="-430"/>
        <w:jc w:val="center"/>
        <w:rPr>
          <w:rFonts w:ascii="宋体" w:hAnsi="宋体"/>
          <w:b/>
          <w:bCs/>
          <w:sz w:val="84"/>
          <w:szCs w:val="84"/>
        </w:rPr>
      </w:pPr>
      <w:r>
        <w:rPr>
          <w:rFonts w:hint="eastAsia" w:ascii="宋体" w:hAnsi="宋体"/>
          <w:b/>
          <w:bCs/>
          <w:sz w:val="84"/>
          <w:szCs w:val="84"/>
        </w:rPr>
        <w:t>投 标 文 件</w:t>
      </w:r>
    </w:p>
    <w:p>
      <w:pPr>
        <w:spacing w:line="360" w:lineRule="auto"/>
        <w:ind w:right="-903" w:rightChars="-430"/>
        <w:jc w:val="center"/>
        <w:rPr>
          <w:rFonts w:ascii="宋体" w:hAnsi="宋体"/>
          <w:b/>
          <w:bCs/>
          <w:sz w:val="84"/>
          <w:szCs w:val="84"/>
        </w:rPr>
      </w:pPr>
      <w:r>
        <w:rPr>
          <w:rFonts w:hint="eastAsia" w:ascii="宋体" w:hAnsi="宋体"/>
          <w:b/>
          <w:bCs/>
          <w:sz w:val="84"/>
          <w:szCs w:val="84"/>
        </w:rPr>
        <w:t>（商务标）</w:t>
      </w:r>
    </w:p>
    <w:p>
      <w:pPr>
        <w:spacing w:line="360" w:lineRule="auto"/>
        <w:ind w:right="-903" w:rightChars="-430" w:firstLine="3253" w:firstLineChars="900"/>
        <w:rPr>
          <w:rFonts w:ascii="宋体" w:hAnsi="宋体"/>
          <w:b/>
          <w:bCs/>
          <w:sz w:val="36"/>
          <w:szCs w:val="20"/>
        </w:rPr>
      </w:pPr>
    </w:p>
    <w:p>
      <w:pPr>
        <w:spacing w:line="360" w:lineRule="auto"/>
        <w:ind w:firstLine="2891" w:firstLineChars="400"/>
        <w:rPr>
          <w:rFonts w:ascii="宋体" w:hAnsi="宋体"/>
          <w:b/>
          <w:bCs/>
          <w:sz w:val="72"/>
          <w:szCs w:val="20"/>
        </w:rPr>
      </w:pPr>
    </w:p>
    <w:p>
      <w:pPr>
        <w:spacing w:after="100" w:afterAutospacing="1" w:line="360" w:lineRule="auto"/>
        <w:rPr>
          <w:rFonts w:ascii="宋体" w:hAnsi="宋体"/>
          <w:b/>
          <w:bCs/>
          <w:sz w:val="32"/>
          <w:szCs w:val="20"/>
        </w:rPr>
      </w:pPr>
    </w:p>
    <w:p>
      <w:pPr>
        <w:spacing w:after="100" w:afterAutospacing="1" w:line="360" w:lineRule="auto"/>
        <w:rPr>
          <w:rFonts w:ascii="宋体" w:hAnsi="宋体"/>
          <w:b/>
          <w:bCs/>
          <w:sz w:val="32"/>
          <w:szCs w:val="20"/>
        </w:rPr>
      </w:pPr>
    </w:p>
    <w:p>
      <w:pPr>
        <w:spacing w:line="360" w:lineRule="auto"/>
        <w:rPr>
          <w:rFonts w:ascii="宋体" w:hAnsi="宋体"/>
          <w:sz w:val="28"/>
          <w:szCs w:val="28"/>
        </w:rPr>
      </w:pPr>
      <w:r>
        <w:rPr>
          <w:rFonts w:hint="eastAsia" w:ascii="宋体" w:hAnsi="宋体"/>
          <w:sz w:val="28"/>
          <w:szCs w:val="28"/>
        </w:rPr>
        <w:t>投标人（盖章）：</w:t>
      </w:r>
    </w:p>
    <w:p>
      <w:pPr>
        <w:spacing w:line="360" w:lineRule="auto"/>
        <w:rPr>
          <w:rFonts w:ascii="宋体" w:hAnsi="宋体"/>
          <w:sz w:val="28"/>
          <w:szCs w:val="28"/>
        </w:rPr>
      </w:pPr>
      <w:r>
        <w:rPr>
          <w:rFonts w:hint="eastAsia" w:ascii="宋体" w:hAnsi="宋体"/>
          <w:sz w:val="28"/>
          <w:szCs w:val="28"/>
        </w:rPr>
        <w:t>法定代表人或授权委托代理人（签字或盖章）：</w:t>
      </w:r>
    </w:p>
    <w:p>
      <w:pPr>
        <w:spacing w:line="360" w:lineRule="auto"/>
      </w:pPr>
      <w:r>
        <w:rPr>
          <w:rFonts w:hint="eastAsia" w:ascii="宋体" w:hAnsi="宋体"/>
          <w:sz w:val="28"/>
          <w:szCs w:val="28"/>
        </w:rPr>
        <w:t>日      期：   年  月  日</w:t>
      </w:r>
    </w:p>
    <w:p>
      <w:pPr>
        <w:pStyle w:val="4"/>
        <w:keepNext w:val="0"/>
        <w:keepLines w:val="0"/>
        <w:pageBreakBefore/>
        <w:spacing w:line="360" w:lineRule="auto"/>
        <w:rPr>
          <w:rFonts w:eastAsia="宋体"/>
          <w:sz w:val="24"/>
          <w:szCs w:val="24"/>
        </w:rPr>
      </w:pPr>
      <w:bookmarkStart w:id="184" w:name="_Toc52888969"/>
      <w:bookmarkStart w:id="185" w:name="_Toc23259190"/>
      <w:bookmarkStart w:id="186" w:name="_Toc3557"/>
      <w:bookmarkStart w:id="187" w:name="_Toc25860391"/>
      <w:bookmarkStart w:id="188" w:name="_Toc27271"/>
      <w:bookmarkStart w:id="189" w:name="_Toc23259390"/>
      <w:r>
        <w:rPr>
          <w:rFonts w:hint="eastAsia" w:eastAsia="宋体"/>
          <w:sz w:val="24"/>
          <w:szCs w:val="24"/>
        </w:rPr>
        <w:t>附件2：投标文件封面格式（技术标）</w:t>
      </w:r>
      <w:bookmarkEnd w:id="184"/>
      <w:bookmarkEnd w:id="185"/>
      <w:bookmarkEnd w:id="186"/>
      <w:bookmarkEnd w:id="187"/>
      <w:bookmarkEnd w:id="188"/>
      <w:bookmarkEnd w:id="189"/>
    </w:p>
    <w:p>
      <w:pPr>
        <w:spacing w:line="360" w:lineRule="auto"/>
        <w:jc w:val="right"/>
        <w:rPr>
          <w:rFonts w:ascii="宋体" w:hAnsi="宋体"/>
          <w:b/>
          <w:bCs/>
          <w:sz w:val="28"/>
          <w:szCs w:val="28"/>
        </w:rPr>
      </w:pPr>
      <w:r>
        <w:rPr>
          <w:rFonts w:hint="eastAsia" w:ascii="宋体" w:hAnsi="宋体"/>
          <w:b/>
          <w:bCs/>
          <w:sz w:val="28"/>
          <w:szCs w:val="28"/>
        </w:rPr>
        <w:t>正本（副本）</w:t>
      </w:r>
    </w:p>
    <w:p>
      <w:pPr>
        <w:spacing w:line="360" w:lineRule="auto"/>
        <w:jc w:val="center"/>
        <w:rPr>
          <w:rFonts w:ascii="宋体" w:hAnsi="宋体"/>
          <w:b/>
          <w:bCs/>
          <w:sz w:val="36"/>
          <w:szCs w:val="36"/>
        </w:rPr>
      </w:pPr>
    </w:p>
    <w:p>
      <w:pPr>
        <w:spacing w:line="360" w:lineRule="auto"/>
        <w:jc w:val="center"/>
        <w:rPr>
          <w:rFonts w:ascii="宋体" w:hAnsi="宋体"/>
          <w:b/>
          <w:bCs/>
          <w:sz w:val="36"/>
          <w:szCs w:val="36"/>
        </w:rPr>
      </w:pPr>
    </w:p>
    <w:p>
      <w:pPr>
        <w:spacing w:line="360" w:lineRule="auto"/>
        <w:jc w:val="center"/>
        <w:rPr>
          <w:rFonts w:ascii="宋体" w:hAnsi="宋体"/>
          <w:b/>
          <w:bCs/>
          <w:sz w:val="72"/>
          <w:szCs w:val="72"/>
        </w:rPr>
      </w:pPr>
      <w:r>
        <w:rPr>
          <w:rFonts w:hint="eastAsia" w:ascii="宋体" w:hAnsi="宋体"/>
          <w:b/>
          <w:bCs/>
          <w:sz w:val="72"/>
          <w:szCs w:val="72"/>
        </w:rPr>
        <w:t>数据中心建设项目</w:t>
      </w:r>
    </w:p>
    <w:p>
      <w:pPr>
        <w:spacing w:line="360" w:lineRule="auto"/>
        <w:ind w:left="586" w:leftChars="-344" w:right="-903" w:rightChars="-430" w:hanging="1308" w:hangingChars="181"/>
        <w:jc w:val="center"/>
        <w:rPr>
          <w:rFonts w:ascii="宋体" w:hAnsi="宋体"/>
          <w:b/>
          <w:bCs/>
          <w:sz w:val="52"/>
          <w:szCs w:val="20"/>
        </w:rPr>
      </w:pPr>
      <w:r>
        <w:rPr>
          <w:rFonts w:hint="eastAsia" w:hAnsi="宋体"/>
          <w:b/>
          <w:bCs/>
          <w:sz w:val="72"/>
          <w:szCs w:val="72"/>
        </w:rPr>
        <w:t>（服务器、备份设备）</w:t>
      </w:r>
    </w:p>
    <w:p>
      <w:pPr>
        <w:spacing w:line="360" w:lineRule="auto"/>
        <w:ind w:right="-903" w:rightChars="-430"/>
        <w:jc w:val="center"/>
        <w:rPr>
          <w:rFonts w:ascii="宋体" w:hAnsi="宋体"/>
          <w:b/>
          <w:bCs/>
          <w:sz w:val="84"/>
          <w:szCs w:val="84"/>
        </w:rPr>
      </w:pPr>
      <w:r>
        <w:rPr>
          <w:rFonts w:hint="eastAsia" w:ascii="宋体" w:hAnsi="宋体"/>
          <w:b/>
          <w:bCs/>
          <w:sz w:val="84"/>
          <w:szCs w:val="84"/>
        </w:rPr>
        <w:t>投 标 文 件</w:t>
      </w:r>
    </w:p>
    <w:p>
      <w:pPr>
        <w:spacing w:line="360" w:lineRule="auto"/>
        <w:ind w:right="-903" w:rightChars="-430"/>
        <w:jc w:val="center"/>
        <w:rPr>
          <w:rFonts w:ascii="宋体" w:hAnsi="宋体"/>
          <w:b/>
          <w:bCs/>
          <w:sz w:val="84"/>
          <w:szCs w:val="84"/>
        </w:rPr>
      </w:pPr>
      <w:r>
        <w:rPr>
          <w:rFonts w:hint="eastAsia" w:ascii="宋体" w:hAnsi="宋体"/>
          <w:b/>
          <w:bCs/>
          <w:sz w:val="84"/>
          <w:szCs w:val="84"/>
        </w:rPr>
        <w:t>（技术标）</w:t>
      </w:r>
    </w:p>
    <w:p>
      <w:pPr>
        <w:spacing w:line="360" w:lineRule="auto"/>
        <w:ind w:right="-903" w:rightChars="-430" w:firstLine="3253" w:firstLineChars="900"/>
        <w:rPr>
          <w:rFonts w:ascii="宋体" w:hAnsi="宋体"/>
          <w:b/>
          <w:bCs/>
          <w:sz w:val="36"/>
          <w:szCs w:val="20"/>
        </w:rPr>
      </w:pPr>
    </w:p>
    <w:p>
      <w:pPr>
        <w:spacing w:line="360" w:lineRule="auto"/>
        <w:ind w:firstLine="2891" w:firstLineChars="400"/>
        <w:rPr>
          <w:rFonts w:ascii="宋体" w:hAnsi="宋体"/>
          <w:b/>
          <w:bCs/>
          <w:sz w:val="72"/>
          <w:szCs w:val="20"/>
        </w:rPr>
      </w:pPr>
    </w:p>
    <w:p>
      <w:pPr>
        <w:spacing w:after="100" w:afterAutospacing="1" w:line="360" w:lineRule="auto"/>
        <w:rPr>
          <w:rFonts w:ascii="宋体" w:hAnsi="宋体"/>
          <w:b/>
          <w:bCs/>
          <w:sz w:val="32"/>
          <w:szCs w:val="20"/>
        </w:rPr>
      </w:pPr>
    </w:p>
    <w:p>
      <w:pPr>
        <w:spacing w:after="100" w:afterAutospacing="1" w:line="360" w:lineRule="auto"/>
        <w:rPr>
          <w:rFonts w:ascii="宋体" w:hAnsi="宋体"/>
          <w:b/>
          <w:bCs/>
          <w:sz w:val="32"/>
          <w:szCs w:val="20"/>
        </w:rPr>
      </w:pPr>
    </w:p>
    <w:p>
      <w:pPr>
        <w:spacing w:line="360" w:lineRule="auto"/>
        <w:rPr>
          <w:rFonts w:ascii="宋体" w:hAnsi="宋体"/>
          <w:sz w:val="28"/>
          <w:szCs w:val="28"/>
        </w:rPr>
      </w:pPr>
      <w:r>
        <w:rPr>
          <w:rFonts w:hint="eastAsia" w:ascii="宋体" w:hAnsi="宋体"/>
          <w:sz w:val="28"/>
          <w:szCs w:val="28"/>
        </w:rPr>
        <w:t>投标人（盖章）：</w:t>
      </w:r>
    </w:p>
    <w:p>
      <w:pPr>
        <w:spacing w:line="360" w:lineRule="auto"/>
        <w:rPr>
          <w:rFonts w:ascii="宋体" w:hAnsi="宋体"/>
          <w:sz w:val="28"/>
          <w:szCs w:val="28"/>
        </w:rPr>
      </w:pPr>
      <w:r>
        <w:rPr>
          <w:rFonts w:hint="eastAsia" w:ascii="宋体" w:hAnsi="宋体"/>
          <w:sz w:val="28"/>
          <w:szCs w:val="28"/>
        </w:rPr>
        <w:t>法定代表人或授权委托代理人（签字或盖章）：</w:t>
      </w:r>
    </w:p>
    <w:p>
      <w:pPr>
        <w:spacing w:line="360" w:lineRule="auto"/>
        <w:rPr>
          <w:rFonts w:ascii="宋体" w:hAnsi="宋体"/>
          <w:sz w:val="28"/>
          <w:szCs w:val="28"/>
        </w:rPr>
      </w:pPr>
      <w:r>
        <w:rPr>
          <w:rFonts w:hint="eastAsia" w:ascii="宋体" w:hAnsi="宋体"/>
          <w:sz w:val="28"/>
          <w:szCs w:val="28"/>
        </w:rPr>
        <w:t>日      期：   年  月  日</w:t>
      </w:r>
    </w:p>
    <w:p>
      <w:pPr>
        <w:spacing w:line="360" w:lineRule="auto"/>
        <w:rPr>
          <w:rFonts w:ascii="宋体" w:hAnsi="宋体"/>
          <w:sz w:val="28"/>
          <w:szCs w:val="28"/>
        </w:rPr>
      </w:pPr>
    </w:p>
    <w:p>
      <w:pPr>
        <w:pStyle w:val="4"/>
        <w:keepNext w:val="0"/>
        <w:keepLines w:val="0"/>
        <w:pageBreakBefore/>
        <w:spacing w:line="360" w:lineRule="auto"/>
        <w:rPr>
          <w:rFonts w:eastAsia="宋体"/>
          <w:sz w:val="24"/>
          <w:szCs w:val="24"/>
        </w:rPr>
      </w:pPr>
      <w:bookmarkStart w:id="190" w:name="_Toc52888970"/>
      <w:bookmarkStart w:id="191" w:name="_Toc25860392"/>
      <w:bookmarkStart w:id="192" w:name="_Toc23259391"/>
      <w:bookmarkStart w:id="193" w:name="_Toc14293"/>
      <w:bookmarkStart w:id="194" w:name="_Toc496105740"/>
      <w:bookmarkStart w:id="195" w:name="_Toc23259191"/>
      <w:bookmarkStart w:id="196" w:name="_Toc26734"/>
      <w:r>
        <w:rPr>
          <w:rFonts w:hint="eastAsia" w:eastAsia="宋体"/>
          <w:sz w:val="24"/>
          <w:szCs w:val="24"/>
        </w:rPr>
        <w:t>附件</w:t>
      </w:r>
      <w:r>
        <w:rPr>
          <w:rFonts w:eastAsia="宋体"/>
          <w:sz w:val="24"/>
          <w:szCs w:val="24"/>
        </w:rPr>
        <w:t>3</w:t>
      </w:r>
      <w:r>
        <w:rPr>
          <w:rFonts w:hint="eastAsia" w:eastAsia="宋体"/>
          <w:sz w:val="24"/>
          <w:szCs w:val="24"/>
        </w:rPr>
        <w:t>：投 标 书</w:t>
      </w:r>
      <w:bookmarkEnd w:id="190"/>
      <w:bookmarkEnd w:id="191"/>
      <w:bookmarkEnd w:id="192"/>
      <w:bookmarkEnd w:id="193"/>
      <w:bookmarkEnd w:id="194"/>
      <w:bookmarkEnd w:id="195"/>
      <w:bookmarkEnd w:id="196"/>
    </w:p>
    <w:p>
      <w:pPr>
        <w:wordWrap w:val="0"/>
        <w:spacing w:line="360" w:lineRule="auto"/>
        <w:jc w:val="center"/>
        <w:rPr>
          <w:rFonts w:ascii="宋体" w:hAnsi="宋体" w:cs="宋体"/>
          <w:b/>
          <w:bCs/>
          <w:sz w:val="32"/>
          <w:szCs w:val="32"/>
        </w:rPr>
      </w:pPr>
      <w:bookmarkStart w:id="197" w:name="_Toc336424872"/>
      <w:bookmarkStart w:id="198" w:name="_Toc152042576"/>
      <w:bookmarkStart w:id="199" w:name="_Toc144974856"/>
      <w:bookmarkStart w:id="200" w:name="_Toc152045787"/>
      <w:bookmarkStart w:id="201" w:name="_Toc238552299"/>
      <w:bookmarkStart w:id="202" w:name="_Toc238797661"/>
      <w:bookmarkStart w:id="203" w:name="_Toc446682529"/>
      <w:bookmarkStart w:id="204" w:name="_Toc446682612"/>
      <w:r>
        <w:rPr>
          <w:rFonts w:hint="eastAsia" w:ascii="宋体" w:hAnsi="宋体" w:cs="宋体"/>
          <w:b/>
          <w:bCs/>
          <w:sz w:val="32"/>
          <w:szCs w:val="32"/>
        </w:rPr>
        <w:t>目    录</w:t>
      </w:r>
      <w:bookmarkEnd w:id="197"/>
      <w:bookmarkEnd w:id="198"/>
      <w:bookmarkEnd w:id="199"/>
      <w:bookmarkEnd w:id="200"/>
      <w:bookmarkEnd w:id="201"/>
      <w:bookmarkEnd w:id="202"/>
    </w:p>
    <w:p>
      <w:pPr>
        <w:spacing w:line="540" w:lineRule="exact"/>
        <w:rPr>
          <w:rFonts w:ascii="宋体" w:hAnsi="宋体" w:cs="宋体"/>
          <w:sz w:val="24"/>
          <w:szCs w:val="24"/>
        </w:rPr>
      </w:pPr>
      <w:r>
        <w:rPr>
          <w:rFonts w:hint="eastAsia" w:ascii="宋体" w:hAnsi="宋体" w:cs="宋体"/>
          <w:sz w:val="24"/>
          <w:szCs w:val="24"/>
        </w:rPr>
        <w:t>1.投标函</w:t>
      </w:r>
    </w:p>
    <w:p>
      <w:pPr>
        <w:spacing w:line="540" w:lineRule="exact"/>
        <w:rPr>
          <w:rFonts w:ascii="宋体" w:hAnsi="宋体" w:cs="宋体"/>
          <w:sz w:val="24"/>
          <w:szCs w:val="24"/>
        </w:rPr>
      </w:pPr>
      <w:r>
        <w:rPr>
          <w:rFonts w:hint="eastAsia" w:ascii="宋体" w:hAnsi="宋体" w:cs="宋体"/>
          <w:sz w:val="24"/>
          <w:szCs w:val="24"/>
        </w:rPr>
        <w:t>2.法定代表人身份证明</w:t>
      </w:r>
    </w:p>
    <w:p>
      <w:pPr>
        <w:spacing w:line="540" w:lineRule="exact"/>
        <w:rPr>
          <w:rFonts w:ascii="宋体" w:hAnsi="宋体" w:cs="宋体"/>
          <w:sz w:val="24"/>
          <w:szCs w:val="24"/>
        </w:rPr>
      </w:pPr>
      <w:r>
        <w:rPr>
          <w:rFonts w:hint="eastAsia" w:ascii="宋体" w:hAnsi="宋体" w:cs="宋体"/>
          <w:sz w:val="24"/>
          <w:szCs w:val="24"/>
        </w:rPr>
        <w:t>3.授权委托书</w:t>
      </w:r>
    </w:p>
    <w:p>
      <w:pPr>
        <w:spacing w:line="540" w:lineRule="exact"/>
        <w:rPr>
          <w:rFonts w:ascii="宋体" w:hAnsi="宋体" w:cs="宋体"/>
          <w:sz w:val="24"/>
          <w:szCs w:val="24"/>
        </w:rPr>
      </w:pPr>
      <w:r>
        <w:rPr>
          <w:rFonts w:hint="eastAsia" w:ascii="宋体" w:hAnsi="宋体" w:cs="宋体"/>
          <w:sz w:val="24"/>
          <w:szCs w:val="24"/>
        </w:rPr>
        <w:t>4.投标保证金</w:t>
      </w:r>
    </w:p>
    <w:p>
      <w:pPr>
        <w:spacing w:line="540" w:lineRule="exact"/>
        <w:rPr>
          <w:rFonts w:ascii="宋体" w:hAnsi="宋体" w:cs="宋体"/>
          <w:sz w:val="24"/>
          <w:szCs w:val="24"/>
        </w:rPr>
      </w:pPr>
      <w:r>
        <w:rPr>
          <w:rFonts w:hint="eastAsia" w:ascii="宋体" w:hAnsi="宋体" w:cs="宋体"/>
          <w:sz w:val="24"/>
          <w:szCs w:val="24"/>
        </w:rPr>
        <w:t>5.资格审查资料</w:t>
      </w:r>
    </w:p>
    <w:p>
      <w:pPr>
        <w:spacing w:line="540" w:lineRule="exact"/>
        <w:rPr>
          <w:rFonts w:ascii="宋体" w:hAnsi="宋体" w:cs="宋体"/>
          <w:sz w:val="24"/>
          <w:szCs w:val="24"/>
        </w:rPr>
      </w:pPr>
      <w:r>
        <w:rPr>
          <w:rFonts w:hint="eastAsia" w:ascii="宋体" w:hAnsi="宋体" w:cs="宋体"/>
          <w:sz w:val="24"/>
          <w:szCs w:val="24"/>
        </w:rPr>
        <w:t>6.产品质量执行标准及承诺</w:t>
      </w:r>
    </w:p>
    <w:p>
      <w:pPr>
        <w:spacing w:line="540" w:lineRule="exact"/>
        <w:rPr>
          <w:rFonts w:ascii="宋体" w:hAnsi="宋体" w:cs="宋体"/>
          <w:sz w:val="24"/>
          <w:szCs w:val="24"/>
        </w:rPr>
      </w:pPr>
      <w:r>
        <w:rPr>
          <w:rFonts w:hint="eastAsia" w:ascii="宋体" w:hAnsi="宋体" w:cs="宋体"/>
          <w:sz w:val="24"/>
          <w:szCs w:val="24"/>
        </w:rPr>
        <w:t>7.关于投标人资格的声明函</w:t>
      </w:r>
    </w:p>
    <w:p>
      <w:pPr>
        <w:spacing w:line="540" w:lineRule="exact"/>
        <w:rPr>
          <w:rFonts w:ascii="宋体" w:hAnsi="宋体" w:cs="宋体"/>
          <w:sz w:val="24"/>
          <w:szCs w:val="24"/>
        </w:rPr>
      </w:pPr>
      <w:r>
        <w:rPr>
          <w:rFonts w:hint="eastAsia" w:ascii="宋体" w:hAnsi="宋体" w:cs="宋体"/>
          <w:sz w:val="24"/>
          <w:szCs w:val="24"/>
        </w:rPr>
        <w:t>8.招投标廉政协议书</w:t>
      </w:r>
    </w:p>
    <w:p>
      <w:pPr>
        <w:spacing w:line="540" w:lineRule="exact"/>
        <w:rPr>
          <w:rFonts w:ascii="宋体" w:hAnsi="宋体" w:cs="宋体"/>
          <w:b/>
          <w:sz w:val="32"/>
          <w:szCs w:val="32"/>
        </w:rPr>
      </w:pPr>
      <w:r>
        <w:rPr>
          <w:rFonts w:hint="eastAsia" w:ascii="宋体" w:hAnsi="宋体" w:cs="宋体"/>
          <w:sz w:val="24"/>
          <w:szCs w:val="24"/>
        </w:rPr>
        <w:br w:type="page"/>
      </w:r>
      <w:r>
        <w:rPr>
          <w:rFonts w:hint="eastAsia" w:ascii="宋体" w:hAnsi="宋体" w:cs="宋体"/>
          <w:b/>
          <w:bCs/>
          <w:sz w:val="32"/>
          <w:szCs w:val="32"/>
        </w:rPr>
        <w:t>1.</w:t>
      </w:r>
      <w:r>
        <w:rPr>
          <w:rFonts w:hint="eastAsia" w:ascii="宋体" w:hAnsi="宋体" w:cs="宋体"/>
          <w:b/>
          <w:sz w:val="32"/>
          <w:szCs w:val="32"/>
        </w:rPr>
        <w:t>投标函</w:t>
      </w:r>
    </w:p>
    <w:p>
      <w:pPr>
        <w:rPr>
          <w:rFonts w:ascii="宋体" w:hAnsi="宋体" w:cs="宋体"/>
          <w:sz w:val="24"/>
          <w:u w:val="single"/>
        </w:rPr>
      </w:pPr>
      <w:r>
        <w:rPr>
          <w:rFonts w:hint="eastAsia" w:ascii="宋体" w:hAnsi="宋体" w:cs="宋体"/>
          <w:sz w:val="24"/>
        </w:rPr>
        <w:t>致：广东兴发铝业有限公司</w:t>
      </w:r>
    </w:p>
    <w:p>
      <w:pPr>
        <w:ind w:left="720"/>
        <w:rPr>
          <w:rFonts w:ascii="宋体" w:hAnsi="宋体" w:cs="宋体"/>
          <w:sz w:val="24"/>
        </w:rPr>
      </w:pPr>
    </w:p>
    <w:p>
      <w:pPr>
        <w:ind w:firstLine="480" w:firstLineChars="200"/>
        <w:rPr>
          <w:rFonts w:ascii="宋体" w:hAnsi="宋体" w:cs="宋体"/>
          <w:sz w:val="24"/>
        </w:rPr>
      </w:pPr>
      <w:r>
        <w:rPr>
          <w:rFonts w:hint="eastAsia" w:ascii="宋体" w:hAnsi="宋体" w:cs="宋体"/>
          <w:sz w:val="24"/>
        </w:rPr>
        <w:t>我方已收到上述邀请招标所提供的一切有关投标文件，现根据招标文件和其它相关文件的要求，经研究决定，我公司愿成为贵单位所需物资之供货商：具体质量、数量、价格以中标文件为依据，以购销合同及投标书内容的要求为履行准则。</w:t>
      </w:r>
    </w:p>
    <w:p>
      <w:pPr>
        <w:ind w:left="720"/>
        <w:rPr>
          <w:rFonts w:ascii="宋体" w:hAnsi="宋体" w:cs="宋体"/>
          <w:sz w:val="24"/>
        </w:rPr>
      </w:pPr>
    </w:p>
    <w:p>
      <w:pPr>
        <w:widowControl/>
        <w:ind w:firstLine="480" w:firstLineChars="200"/>
        <w:jc w:val="left"/>
        <w:rPr>
          <w:rFonts w:ascii="宋体" w:hAnsi="宋体" w:cs="宋体"/>
          <w:szCs w:val="21"/>
        </w:rPr>
      </w:pPr>
      <w:r>
        <w:rPr>
          <w:rFonts w:hint="eastAsia" w:ascii="宋体" w:hAnsi="宋体" w:cs="宋体"/>
          <w:sz w:val="24"/>
        </w:rPr>
        <w:t>我方郑重承诺：我方所中标的项目，其各项指标均符合国家标准，并达到贵方要求，保证在供货期，保用期及售后服务上确保贵方需求。</w:t>
      </w:r>
    </w:p>
    <w:p>
      <w:pPr>
        <w:widowControl/>
        <w:ind w:left="720"/>
        <w:jc w:val="left"/>
        <w:rPr>
          <w:rFonts w:ascii="宋体" w:hAnsi="宋体" w:cs="宋体"/>
          <w:szCs w:val="21"/>
        </w:rPr>
      </w:pPr>
    </w:p>
    <w:p>
      <w:pPr>
        <w:widowControl/>
        <w:ind w:left="720"/>
        <w:jc w:val="left"/>
        <w:rPr>
          <w:rFonts w:ascii="宋体" w:hAnsi="宋体" w:cs="宋体"/>
          <w:szCs w:val="21"/>
        </w:rPr>
      </w:pPr>
    </w:p>
    <w:p>
      <w:pPr>
        <w:pStyle w:val="68"/>
        <w:ind w:left="720" w:right="105" w:firstLine="0" w:firstLineChars="0"/>
        <w:jc w:val="right"/>
        <w:rPr>
          <w:rFonts w:ascii="宋体" w:hAnsi="宋体" w:cs="宋体"/>
          <w:szCs w:val="21"/>
          <w:u w:val="single"/>
        </w:rPr>
      </w:pPr>
      <w:r>
        <w:rPr>
          <w:rFonts w:hint="eastAsia" w:ascii="宋体" w:hAnsi="宋体" w:cs="宋体"/>
          <w:szCs w:val="21"/>
        </w:rPr>
        <w:t>投 标 人：</w:t>
      </w:r>
      <w:r>
        <w:rPr>
          <w:rFonts w:hint="eastAsia" w:ascii="宋体" w:hAnsi="宋体" w:cs="宋体"/>
          <w:szCs w:val="21"/>
          <w:u w:val="single"/>
        </w:rPr>
        <w:t xml:space="preserve">                                        （盖章）</w:t>
      </w:r>
    </w:p>
    <w:p>
      <w:pPr>
        <w:pStyle w:val="68"/>
        <w:ind w:left="720" w:right="105" w:firstLine="0" w:firstLineChars="0"/>
        <w:jc w:val="right"/>
        <w:rPr>
          <w:rFonts w:ascii="宋体" w:hAnsi="宋体" w:cs="宋体"/>
          <w:szCs w:val="21"/>
          <w:u w:val="single"/>
        </w:rPr>
      </w:pPr>
    </w:p>
    <w:p>
      <w:pPr>
        <w:pStyle w:val="68"/>
        <w:wordWrap w:val="0"/>
        <w:ind w:left="720" w:right="105" w:firstLine="0" w:firstLineChars="0"/>
        <w:jc w:val="right"/>
        <w:rPr>
          <w:rFonts w:ascii="宋体" w:hAnsi="宋体" w:cs="宋体"/>
          <w:szCs w:val="21"/>
          <w:u w:val="single"/>
        </w:rPr>
      </w:pPr>
      <w:r>
        <w:rPr>
          <w:rFonts w:hint="eastAsia" w:ascii="宋体" w:hAnsi="宋体" w:cs="宋体"/>
          <w:szCs w:val="21"/>
        </w:rPr>
        <w:t xml:space="preserve">单位地址： </w:t>
      </w:r>
      <w:r>
        <w:rPr>
          <w:rFonts w:hint="eastAsia" w:ascii="宋体" w:hAnsi="宋体" w:cs="宋体"/>
          <w:szCs w:val="21"/>
          <w:u w:val="single"/>
        </w:rPr>
        <w:t xml:space="preserve">                                                </w:t>
      </w:r>
    </w:p>
    <w:p>
      <w:pPr>
        <w:pStyle w:val="68"/>
        <w:ind w:left="720" w:right="105" w:firstLine="0" w:firstLineChars="0"/>
        <w:jc w:val="right"/>
        <w:rPr>
          <w:rFonts w:ascii="宋体" w:hAnsi="宋体" w:cs="宋体"/>
          <w:szCs w:val="21"/>
          <w:u w:val="single"/>
        </w:rPr>
      </w:pPr>
    </w:p>
    <w:p>
      <w:pPr>
        <w:pStyle w:val="68"/>
        <w:wordWrap w:val="0"/>
        <w:ind w:left="720" w:right="105" w:firstLine="0" w:firstLineChars="0"/>
        <w:jc w:val="right"/>
        <w:rPr>
          <w:rFonts w:ascii="宋体" w:hAnsi="宋体" w:cs="宋体"/>
          <w:szCs w:val="21"/>
          <w:u w:val="single"/>
        </w:rPr>
      </w:pPr>
      <w:r>
        <w:rPr>
          <w:rFonts w:hint="eastAsia" w:ascii="宋体" w:hAnsi="宋体" w:cs="宋体"/>
          <w:szCs w:val="21"/>
        </w:rPr>
        <w:t>法定代表人或其委托代理人：</w:t>
      </w:r>
      <w:r>
        <w:rPr>
          <w:rFonts w:hint="eastAsia" w:ascii="宋体" w:hAnsi="宋体" w:cs="宋体"/>
          <w:szCs w:val="21"/>
          <w:u w:val="single"/>
        </w:rPr>
        <w:t xml:space="preserve">                                  （签字或盖章）</w:t>
      </w:r>
    </w:p>
    <w:p>
      <w:pPr>
        <w:pStyle w:val="68"/>
        <w:ind w:left="720" w:right="105" w:firstLine="0" w:firstLineChars="0"/>
        <w:jc w:val="right"/>
        <w:rPr>
          <w:rFonts w:ascii="宋体" w:hAnsi="宋体" w:cs="宋体"/>
          <w:szCs w:val="21"/>
          <w:u w:val="single"/>
        </w:rPr>
      </w:pPr>
    </w:p>
    <w:p>
      <w:pPr>
        <w:pStyle w:val="68"/>
        <w:wordWrap w:val="0"/>
        <w:ind w:left="720" w:right="105" w:firstLine="0" w:firstLineChars="0"/>
        <w:jc w:val="right"/>
        <w:rPr>
          <w:rFonts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电话：</w:t>
      </w:r>
      <w:r>
        <w:rPr>
          <w:rFonts w:hint="eastAsia" w:ascii="宋体" w:hAnsi="宋体" w:cs="宋体"/>
          <w:szCs w:val="21"/>
          <w:u w:val="single"/>
        </w:rPr>
        <w:t xml:space="preserve">              </w:t>
      </w:r>
      <w:r>
        <w:rPr>
          <w:rFonts w:hint="eastAsia" w:ascii="宋体" w:hAnsi="宋体" w:cs="宋体"/>
          <w:szCs w:val="21"/>
        </w:rPr>
        <w:t>传真：</w:t>
      </w:r>
      <w:r>
        <w:rPr>
          <w:rFonts w:hint="eastAsia" w:ascii="宋体" w:hAnsi="宋体" w:cs="宋体"/>
          <w:szCs w:val="21"/>
          <w:u w:val="single"/>
        </w:rPr>
        <w:t xml:space="preserve">                   </w:t>
      </w:r>
    </w:p>
    <w:p>
      <w:pPr>
        <w:pStyle w:val="68"/>
        <w:ind w:left="720" w:right="105" w:firstLine="0" w:firstLineChars="0"/>
        <w:jc w:val="right"/>
        <w:rPr>
          <w:rFonts w:ascii="宋体" w:hAnsi="宋体" w:cs="宋体"/>
          <w:szCs w:val="21"/>
        </w:rPr>
      </w:pPr>
    </w:p>
    <w:p>
      <w:pPr>
        <w:pStyle w:val="68"/>
        <w:ind w:left="720" w:firstLine="0" w:firstLineChars="0"/>
        <w:jc w:val="right"/>
        <w:rPr>
          <w:rFonts w:ascii="宋体" w:hAnsi="宋体" w:cs="宋体"/>
          <w:szCs w:val="21"/>
        </w:rPr>
      </w:pPr>
      <w:r>
        <w:rPr>
          <w:rFonts w:hint="eastAsia" w:ascii="宋体" w:hAnsi="宋体" w:cs="宋体"/>
          <w:szCs w:val="21"/>
        </w:rPr>
        <w:t>日期：                 年          月        日</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2.</w:t>
      </w:r>
      <w:r>
        <w:rPr>
          <w:rFonts w:hint="eastAsia" w:ascii="宋体" w:hAnsi="宋体" w:cs="宋体"/>
          <w:b/>
          <w:sz w:val="32"/>
          <w:szCs w:val="32"/>
        </w:rPr>
        <w:t>法定代表人身份证明</w:t>
      </w:r>
    </w:p>
    <w:p>
      <w:pPr>
        <w:pStyle w:val="68"/>
        <w:ind w:left="720" w:firstLine="0" w:firstLineChars="0"/>
        <w:jc w:val="center"/>
        <w:rPr>
          <w:rFonts w:ascii="宋体" w:hAnsi="宋体" w:cs="宋体"/>
          <w:b/>
          <w:sz w:val="20"/>
          <w:szCs w:val="20"/>
        </w:rPr>
      </w:pPr>
      <w:r>
        <w:rPr>
          <w:rFonts w:hint="eastAsia" w:ascii="宋体" w:hAnsi="宋体" w:cs="宋体"/>
          <w:b/>
          <w:sz w:val="20"/>
          <w:szCs w:val="20"/>
        </w:rPr>
        <w:t>（张贴证明文件加盖公章）</w:t>
      </w:r>
    </w:p>
    <w:p>
      <w:pPr>
        <w:jc w:val="center"/>
        <w:rPr>
          <w:rFonts w:ascii="宋体" w:hAnsi="宋体" w:cs="宋体"/>
          <w:b/>
          <w:sz w:val="32"/>
          <w:szCs w:val="32"/>
        </w:rPr>
      </w:pPr>
      <w:r>
        <w:rPr>
          <w:rFonts w:hint="eastAsia" w:ascii="宋体" w:hAnsi="宋体" w:cs="宋体"/>
          <w:b/>
          <w:sz w:val="20"/>
        </w:rPr>
        <w:br w:type="page"/>
      </w:r>
      <w:r>
        <w:rPr>
          <w:rFonts w:hint="eastAsia" w:ascii="宋体" w:hAnsi="宋体" w:cs="宋体"/>
          <w:b/>
          <w:sz w:val="32"/>
          <w:szCs w:val="32"/>
        </w:rPr>
        <w:t>3.法定代表人授权委托书</w:t>
      </w:r>
    </w:p>
    <w:p>
      <w:pPr>
        <w:snapToGrid w:val="0"/>
        <w:spacing w:line="360" w:lineRule="auto"/>
        <w:rPr>
          <w:rFonts w:ascii="宋体" w:hAnsi="宋体" w:cs="宋体"/>
          <w:sz w:val="20"/>
        </w:rPr>
      </w:pPr>
      <w:r>
        <w:rPr>
          <w:rFonts w:hint="eastAsia" w:ascii="宋体" w:hAnsi="宋体" w:cs="宋体"/>
          <w:sz w:val="20"/>
        </w:rPr>
        <w:t>致：广东兴发铝业有限公司</w:t>
      </w:r>
    </w:p>
    <w:p>
      <w:pPr>
        <w:snapToGrid w:val="0"/>
        <w:spacing w:line="360" w:lineRule="auto"/>
        <w:rPr>
          <w:rFonts w:ascii="宋体" w:hAnsi="宋体" w:cs="宋体"/>
          <w:sz w:val="20"/>
        </w:rPr>
      </w:pPr>
      <w:r>
        <w:rPr>
          <w:rFonts w:hint="eastAsia" w:ascii="宋体" w:hAnsi="宋体" w:cs="宋体"/>
          <w:sz w:val="20"/>
        </w:rPr>
        <w:t>本授权委托书声明：</w:t>
      </w:r>
      <w:r>
        <w:rPr>
          <w:rFonts w:hint="eastAsia" w:ascii="宋体" w:hAnsi="宋体" w:cs="宋体"/>
          <w:sz w:val="20"/>
          <w:u w:val="single"/>
        </w:rPr>
        <w:t xml:space="preserve">                     </w:t>
      </w:r>
      <w:r>
        <w:rPr>
          <w:rFonts w:hint="eastAsia" w:ascii="宋体" w:hAnsi="宋体" w:cs="宋体"/>
          <w:sz w:val="20"/>
        </w:rPr>
        <w:t>为中华人民共和国合法企业，法定地址：</w:t>
      </w:r>
      <w:r>
        <w:rPr>
          <w:rFonts w:hint="eastAsia" w:ascii="宋体" w:hAnsi="宋体" w:cs="宋体"/>
          <w:sz w:val="20"/>
          <w:u w:val="single"/>
        </w:rPr>
        <w:t xml:space="preserve">                        </w:t>
      </w:r>
      <w:r>
        <w:rPr>
          <w:rFonts w:hint="eastAsia" w:ascii="宋体" w:hAnsi="宋体" w:cs="宋体"/>
          <w:sz w:val="20"/>
        </w:rPr>
        <w:t>。本企业法定代表人</w:t>
      </w:r>
      <w:r>
        <w:rPr>
          <w:rFonts w:hint="eastAsia" w:ascii="宋体" w:hAnsi="宋体" w:cs="宋体"/>
          <w:sz w:val="20"/>
          <w:u w:val="single"/>
        </w:rPr>
        <w:t xml:space="preserve">             （姓名）  </w:t>
      </w:r>
      <w:r>
        <w:rPr>
          <w:rFonts w:hint="eastAsia" w:ascii="宋体" w:hAnsi="宋体" w:cs="宋体"/>
          <w:sz w:val="20"/>
        </w:rPr>
        <w:t xml:space="preserve">现授权我单位  </w:t>
      </w:r>
      <w:r>
        <w:rPr>
          <w:rFonts w:hint="eastAsia" w:ascii="宋体" w:hAnsi="宋体" w:cs="宋体"/>
          <w:sz w:val="20"/>
          <w:u w:val="single"/>
        </w:rPr>
        <w:t xml:space="preserve">          （被授权人姓名）</w:t>
      </w:r>
      <w:r>
        <w:rPr>
          <w:rFonts w:hint="eastAsia" w:ascii="宋体" w:hAnsi="宋体" w:cs="宋体"/>
          <w:sz w:val="20"/>
        </w:rPr>
        <w:t xml:space="preserve">  为我公司（厂）代理人，该代理人全权办理针对贵司</w:t>
      </w:r>
      <w:r>
        <w:rPr>
          <w:rFonts w:hint="eastAsia" w:ascii="宋体" w:hAnsi="宋体" w:cs="宋体"/>
          <w:sz w:val="20"/>
          <w:u w:val="single"/>
        </w:rPr>
        <w:t xml:space="preserve">                    （项目名称）</w:t>
      </w:r>
      <w:r>
        <w:rPr>
          <w:rFonts w:hint="eastAsia" w:ascii="宋体" w:hAnsi="宋体" w:cs="宋体"/>
          <w:sz w:val="20"/>
        </w:rPr>
        <w:t>的投标、谈判、签约等具体工作，并签署全部有关的文件、协议及合同。</w:t>
      </w:r>
    </w:p>
    <w:p>
      <w:pPr>
        <w:snapToGrid w:val="0"/>
        <w:spacing w:line="360" w:lineRule="auto"/>
        <w:ind w:firstLine="555"/>
        <w:rPr>
          <w:rFonts w:ascii="宋体" w:hAnsi="宋体" w:cs="宋体"/>
          <w:sz w:val="20"/>
        </w:rPr>
      </w:pPr>
      <w:r>
        <w:rPr>
          <w:rFonts w:hint="eastAsia" w:ascii="宋体" w:hAnsi="宋体" w:cs="宋体"/>
          <w:sz w:val="20"/>
        </w:rPr>
        <w:t>我公司（厂）对被授权人所签署的全部有关的文件、协议及合同付全部经济与法律责任。</w:t>
      </w:r>
    </w:p>
    <w:p>
      <w:pPr>
        <w:snapToGrid w:val="0"/>
        <w:spacing w:line="360" w:lineRule="auto"/>
        <w:ind w:firstLine="555"/>
        <w:rPr>
          <w:rFonts w:ascii="宋体" w:hAnsi="宋体" w:cs="宋体"/>
          <w:sz w:val="20"/>
        </w:rPr>
      </w:pPr>
      <w:r>
        <w:rPr>
          <w:rFonts w:hint="eastAsia" w:ascii="宋体" w:hAnsi="宋体" w:cs="宋体"/>
          <w:sz w:val="20"/>
        </w:rPr>
        <w:t>在撤消授权的书面通知以前，本授权书一直有效。被授权人签署的所有文件（在授权书有效期内签署的）不因授权的撤消而失效。</w:t>
      </w: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p>
    <w:p>
      <w:pPr>
        <w:snapToGrid w:val="0"/>
        <w:spacing w:line="360" w:lineRule="auto"/>
        <w:rPr>
          <w:rFonts w:ascii="宋体" w:hAnsi="宋体" w:cs="宋体"/>
          <w:sz w:val="20"/>
        </w:rPr>
      </w:pPr>
      <w:r>
        <w:rPr>
          <w:rFonts w:hint="eastAsia" w:ascii="宋体" w:hAnsi="宋体" w:cs="宋体"/>
          <w:sz w:val="20"/>
        </w:rPr>
        <w:t>投   标   人：</w:t>
      </w:r>
      <w:r>
        <w:rPr>
          <w:rFonts w:hint="eastAsia" w:ascii="宋体" w:hAnsi="宋体" w:cs="宋体"/>
          <w:sz w:val="20"/>
          <w:u w:val="single"/>
        </w:rPr>
        <w:t xml:space="preserve">                        </w:t>
      </w:r>
      <w:r>
        <w:rPr>
          <w:rFonts w:hint="eastAsia" w:ascii="宋体" w:hAnsi="宋体" w:cs="宋体"/>
          <w:sz w:val="20"/>
        </w:rPr>
        <w:t>（公章）</w:t>
      </w:r>
    </w:p>
    <w:p>
      <w:pPr>
        <w:snapToGrid w:val="0"/>
        <w:spacing w:line="360" w:lineRule="auto"/>
        <w:rPr>
          <w:rFonts w:ascii="宋体" w:hAnsi="宋体" w:cs="宋体"/>
          <w:sz w:val="20"/>
        </w:rPr>
      </w:pPr>
      <w:r>
        <w:rPr>
          <w:rFonts w:hint="eastAsia" w:ascii="宋体" w:hAnsi="宋体" w:cs="宋体"/>
          <w:sz w:val="20"/>
        </w:rPr>
        <w:t xml:space="preserve">被授权人签名：                            授权人签名：                </w:t>
      </w:r>
    </w:p>
    <w:p>
      <w:pPr>
        <w:snapToGrid w:val="0"/>
        <w:spacing w:line="360" w:lineRule="auto"/>
        <w:rPr>
          <w:rFonts w:ascii="宋体" w:hAnsi="宋体" w:cs="宋体"/>
          <w:sz w:val="20"/>
        </w:rPr>
      </w:pPr>
      <w:r>
        <w:rPr>
          <w:rFonts w:hint="eastAsia" w:ascii="宋体" w:hAnsi="宋体" w:cs="宋体"/>
          <w:sz w:val="20"/>
        </w:rPr>
        <w:t xml:space="preserve">职        务：                            职      务：              </w:t>
      </w:r>
    </w:p>
    <w:p>
      <w:pPr>
        <w:rPr>
          <w:rFonts w:ascii="宋体" w:hAnsi="宋体" w:cs="宋体"/>
          <w:sz w:val="20"/>
        </w:rPr>
      </w:pPr>
      <w:r>
        <w:rPr>
          <w:rFonts w:hint="eastAsia" w:ascii="宋体" w:hAnsi="宋体" w:cs="宋体"/>
          <w:sz w:val="20"/>
        </w:rPr>
        <w:t xml:space="preserve">日        期：    年   月   日            日      期：    年   月   日  </w:t>
      </w:r>
    </w:p>
    <w:p>
      <w:pPr>
        <w:widowControl/>
        <w:jc w:val="left"/>
        <w:rPr>
          <w:rFonts w:ascii="宋体" w:hAnsi="宋体" w:cs="宋体"/>
          <w:szCs w:val="21"/>
        </w:rPr>
      </w:pPr>
    </w:p>
    <w:p>
      <w:pPr>
        <w:widowControl/>
        <w:jc w:val="left"/>
        <w:rPr>
          <w:rFonts w:ascii="宋体" w:hAnsi="宋体" w:cs="宋体"/>
          <w:szCs w:val="21"/>
        </w:rPr>
      </w:pPr>
    </w:p>
    <w:p>
      <w:pPr>
        <w:widowControl/>
        <w:jc w:val="left"/>
        <w:rPr>
          <w:rFonts w:ascii="宋体" w:hAnsi="宋体" w:cs="宋体"/>
          <w:szCs w:val="21"/>
        </w:rPr>
      </w:pPr>
    </w:p>
    <w:p>
      <w:pPr>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4.</w:t>
      </w:r>
      <w:r>
        <w:rPr>
          <w:rFonts w:hint="eastAsia" w:ascii="宋体" w:hAnsi="宋体" w:cs="宋体"/>
          <w:b/>
          <w:sz w:val="32"/>
          <w:szCs w:val="32"/>
        </w:rPr>
        <w:t>投标保证金</w:t>
      </w:r>
    </w:p>
    <w:p>
      <w:pPr>
        <w:pStyle w:val="68"/>
        <w:ind w:left="720" w:firstLine="0" w:firstLineChars="0"/>
        <w:jc w:val="center"/>
        <w:rPr>
          <w:rFonts w:ascii="宋体" w:hAnsi="宋体" w:cs="宋体"/>
          <w:b/>
          <w:sz w:val="20"/>
          <w:szCs w:val="20"/>
        </w:rPr>
      </w:pPr>
      <w:r>
        <w:rPr>
          <w:rFonts w:hint="eastAsia" w:ascii="宋体" w:hAnsi="宋体" w:cs="宋体"/>
          <w:b/>
          <w:sz w:val="20"/>
          <w:szCs w:val="20"/>
        </w:rPr>
        <w:t>（张贴汇款单据或我司收据加盖公章）</w:t>
      </w:r>
    </w:p>
    <w:p>
      <w:pPr>
        <w:widowControl/>
        <w:jc w:val="left"/>
        <w:rPr>
          <w:rFonts w:ascii="宋体" w:hAnsi="宋体" w:cs="宋体"/>
          <w:szCs w:val="21"/>
        </w:rPr>
      </w:pPr>
    </w:p>
    <w:p>
      <w:pPr>
        <w:widowControl/>
        <w:jc w:val="left"/>
        <w:rPr>
          <w:rFonts w:ascii="宋体" w:hAnsi="宋体" w:cs="宋体"/>
          <w:szCs w:val="21"/>
        </w:rPr>
      </w:pPr>
    </w:p>
    <w:p>
      <w:pPr>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5.</w:t>
      </w:r>
      <w:r>
        <w:rPr>
          <w:rFonts w:hint="eastAsia" w:ascii="宋体" w:hAnsi="宋体" w:cs="宋体"/>
          <w:b/>
          <w:sz w:val="32"/>
          <w:szCs w:val="32"/>
        </w:rPr>
        <w:t>资格审查资料(除本表外可加文字说明)</w:t>
      </w:r>
    </w:p>
    <w:tbl>
      <w:tblPr>
        <w:tblStyle w:val="21"/>
        <w:tblpPr w:leftFromText="180" w:rightFromText="180" w:vertAnchor="text" w:horzAnchor="margin" w:tblpXSpec="center" w:tblpY="693"/>
        <w:tblW w:w="0" w:type="auto"/>
        <w:tblInd w:w="0" w:type="dxa"/>
        <w:tblLayout w:type="fixed"/>
        <w:tblCellMar>
          <w:top w:w="0" w:type="dxa"/>
          <w:left w:w="0" w:type="dxa"/>
          <w:bottom w:w="0" w:type="dxa"/>
          <w:right w:w="0" w:type="dxa"/>
        </w:tblCellMar>
      </w:tblPr>
      <w:tblGrid>
        <w:gridCol w:w="1119"/>
        <w:gridCol w:w="1833"/>
        <w:gridCol w:w="1325"/>
        <w:gridCol w:w="1155"/>
        <w:gridCol w:w="1375"/>
        <w:gridCol w:w="1146"/>
        <w:gridCol w:w="1985"/>
      </w:tblGrid>
      <w:tr>
        <w:tblPrEx>
          <w:tblCellMar>
            <w:top w:w="0" w:type="dxa"/>
            <w:left w:w="0" w:type="dxa"/>
            <w:bottom w:w="0" w:type="dxa"/>
            <w:right w:w="0" w:type="dxa"/>
          </w:tblCellMar>
        </w:tblPrEx>
        <w:trPr>
          <w:trHeight w:val="452" w:hRule="atLeast"/>
        </w:trPr>
        <w:tc>
          <w:tcPr>
            <w:tcW w:w="9938" w:type="dxa"/>
            <w:gridSpan w:val="7"/>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32"/>
                <w:szCs w:val="32"/>
              </w:rPr>
            </w:pPr>
            <w:r>
              <w:rPr>
                <w:rFonts w:hint="eastAsia" w:ascii="宋体" w:hAnsi="宋体" w:cs="宋体"/>
                <w:sz w:val="32"/>
                <w:szCs w:val="32"/>
              </w:rPr>
              <w:t>企业简介</w:t>
            </w:r>
          </w:p>
        </w:tc>
      </w:tr>
      <w:tr>
        <w:tblPrEx>
          <w:tblCellMar>
            <w:top w:w="0" w:type="dxa"/>
            <w:left w:w="0" w:type="dxa"/>
            <w:bottom w:w="0" w:type="dxa"/>
            <w:right w:w="0" w:type="dxa"/>
          </w:tblCellMar>
        </w:tblPrEx>
        <w:trPr>
          <w:trHeight w:val="633" w:hRule="atLeast"/>
        </w:trPr>
        <w:tc>
          <w:tcPr>
            <w:tcW w:w="111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生产企业</w:t>
            </w: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企业名称</w:t>
            </w:r>
          </w:p>
        </w:tc>
        <w:tc>
          <w:tcPr>
            <w:tcW w:w="3855"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法人代表</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18"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注册地址</w:t>
            </w:r>
          </w:p>
        </w:tc>
        <w:tc>
          <w:tcPr>
            <w:tcW w:w="3855"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邮政编码</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588"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成立时间</w:t>
            </w:r>
          </w:p>
        </w:tc>
        <w:tc>
          <w:tcPr>
            <w:tcW w:w="132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联系电话</w:t>
            </w:r>
          </w:p>
        </w:tc>
        <w:tc>
          <w:tcPr>
            <w:tcW w:w="137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传真</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573"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营业执照编码</w:t>
            </w:r>
          </w:p>
        </w:tc>
        <w:tc>
          <w:tcPr>
            <w:tcW w:w="3855" w:type="dxa"/>
            <w:gridSpan w:val="3"/>
            <w:tcBorders>
              <w:top w:val="single" w:color="auto" w:sz="4" w:space="0"/>
              <w:left w:val="nil"/>
              <w:bottom w:val="single" w:color="auto" w:sz="4" w:space="0"/>
              <w:right w:val="single" w:color="000000" w:sz="4" w:space="0"/>
            </w:tcBorders>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经营范围</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48"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注册资本</w:t>
            </w:r>
          </w:p>
        </w:tc>
        <w:tc>
          <w:tcPr>
            <w:tcW w:w="132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流动资产</w:t>
            </w:r>
          </w:p>
        </w:tc>
        <w:tc>
          <w:tcPr>
            <w:tcW w:w="137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固定资产</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753"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职工总数</w:t>
            </w:r>
          </w:p>
        </w:tc>
        <w:tc>
          <w:tcPr>
            <w:tcW w:w="132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技术人员</w:t>
            </w:r>
          </w:p>
        </w:tc>
        <w:tc>
          <w:tcPr>
            <w:tcW w:w="137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管理人员</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693"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17年销售额</w:t>
            </w:r>
          </w:p>
        </w:tc>
        <w:tc>
          <w:tcPr>
            <w:tcW w:w="132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c>
          <w:tcPr>
            <w:tcW w:w="115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18年销售额</w:t>
            </w:r>
          </w:p>
        </w:tc>
        <w:tc>
          <w:tcPr>
            <w:tcW w:w="137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c>
          <w:tcPr>
            <w:tcW w:w="114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19年销售额</w:t>
            </w:r>
          </w:p>
        </w:tc>
        <w:tc>
          <w:tcPr>
            <w:tcW w:w="1985"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925" w:hRule="atLeast"/>
        </w:trPr>
        <w:tc>
          <w:tcPr>
            <w:tcW w:w="1119" w:type="dxa"/>
            <w:vMerge w:val="restart"/>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生产企业各指标</w:t>
            </w: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年生产能力</w:t>
            </w:r>
          </w:p>
        </w:tc>
        <w:tc>
          <w:tcPr>
            <w:tcW w:w="698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p>
        </w:tc>
      </w:tr>
      <w:tr>
        <w:tblPrEx>
          <w:tblCellMar>
            <w:top w:w="0" w:type="dxa"/>
            <w:left w:w="0" w:type="dxa"/>
            <w:bottom w:w="0" w:type="dxa"/>
            <w:right w:w="0" w:type="dxa"/>
          </w:tblCellMar>
        </w:tblPrEx>
        <w:trPr>
          <w:trHeight w:val="1386"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主要生产设备</w:t>
            </w:r>
          </w:p>
        </w:tc>
        <w:tc>
          <w:tcPr>
            <w:tcW w:w="698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6255"/>
              </w:tabs>
              <w:spacing w:after="100" w:afterAutospacing="1" w:line="400" w:lineRule="exact"/>
              <w:ind w:right="561"/>
              <w:rPr>
                <w:rFonts w:ascii="宋体" w:hAnsi="宋体" w:cs="宋体"/>
                <w:bCs/>
                <w:sz w:val="20"/>
              </w:rPr>
            </w:pPr>
            <w:r>
              <w:rPr>
                <w:rFonts w:hint="eastAsia" w:ascii="宋体" w:hAnsi="宋体" w:cs="宋体"/>
                <w:bCs/>
                <w:sz w:val="20"/>
              </w:rPr>
              <w:t xml:space="preserve">                               </w:t>
            </w:r>
          </w:p>
        </w:tc>
      </w:tr>
      <w:tr>
        <w:tblPrEx>
          <w:tblCellMar>
            <w:top w:w="0" w:type="dxa"/>
            <w:left w:w="0" w:type="dxa"/>
            <w:bottom w:w="0" w:type="dxa"/>
            <w:right w:w="0" w:type="dxa"/>
          </w:tblCellMar>
        </w:tblPrEx>
        <w:trPr>
          <w:trHeight w:val="909"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质量管理措施</w:t>
            </w:r>
          </w:p>
        </w:tc>
        <w:tc>
          <w:tcPr>
            <w:tcW w:w="698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w:t>
            </w:r>
          </w:p>
        </w:tc>
      </w:tr>
      <w:tr>
        <w:tblPrEx>
          <w:tblCellMar>
            <w:top w:w="0" w:type="dxa"/>
            <w:left w:w="0" w:type="dxa"/>
            <w:bottom w:w="0" w:type="dxa"/>
            <w:right w:w="0" w:type="dxa"/>
          </w:tblCellMar>
        </w:tblPrEx>
        <w:trPr>
          <w:trHeight w:val="1175" w:hRule="atLeast"/>
        </w:trPr>
        <w:tc>
          <w:tcPr>
            <w:tcW w:w="1119" w:type="dxa"/>
            <w:vMerge w:val="continue"/>
            <w:tcBorders>
              <w:top w:val="nil"/>
              <w:left w:val="single" w:color="auto" w:sz="4" w:space="0"/>
              <w:bottom w:val="single" w:color="auto" w:sz="4" w:space="0"/>
              <w:right w:val="single" w:color="auto" w:sz="4" w:space="0"/>
            </w:tcBorders>
            <w:vAlign w:val="center"/>
          </w:tcPr>
          <w:p>
            <w:pPr>
              <w:rPr>
                <w:rFonts w:ascii="宋体" w:hAnsi="宋体" w:cs="宋体"/>
                <w:sz w:val="20"/>
              </w:rPr>
            </w:pPr>
          </w:p>
        </w:tc>
        <w:tc>
          <w:tcPr>
            <w:tcW w:w="183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主要仪表厂家</w:t>
            </w:r>
          </w:p>
        </w:tc>
        <w:tc>
          <w:tcPr>
            <w:tcW w:w="6986"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宋体" w:hAnsi="宋体" w:cs="宋体"/>
                <w:sz w:val="20"/>
              </w:rPr>
            </w:pPr>
            <w:r>
              <w:rPr>
                <w:rFonts w:hint="eastAsia" w:ascii="宋体" w:hAnsi="宋体" w:cs="宋体"/>
                <w:sz w:val="20"/>
              </w:rPr>
              <w:t xml:space="preserve"> </w:t>
            </w:r>
          </w:p>
        </w:tc>
      </w:tr>
    </w:tbl>
    <w:p>
      <w:pPr>
        <w:snapToGrid w:val="0"/>
        <w:spacing w:line="360" w:lineRule="auto"/>
        <w:rPr>
          <w:rFonts w:ascii="宋体" w:hAnsi="宋体" w:cs="宋体"/>
          <w:sz w:val="32"/>
          <w:szCs w:val="32"/>
        </w:rPr>
      </w:pPr>
      <w:r>
        <w:rPr>
          <w:rFonts w:hint="eastAsia" w:ascii="宋体" w:hAnsi="宋体" w:cs="宋体"/>
          <w:sz w:val="32"/>
          <w:szCs w:val="32"/>
        </w:rPr>
        <w:t>5.1、投标人基本情况表</w:t>
      </w:r>
    </w:p>
    <w:p>
      <w:pPr>
        <w:spacing w:line="240" w:lineRule="atLeast"/>
        <w:rPr>
          <w:rFonts w:ascii="宋体" w:hAnsi="宋体" w:cs="宋体"/>
        </w:rPr>
      </w:pPr>
    </w:p>
    <w:p>
      <w:pPr>
        <w:spacing w:line="240" w:lineRule="atLeast"/>
        <w:rPr>
          <w:rFonts w:ascii="宋体" w:hAnsi="宋体" w:cs="宋体"/>
          <w:b/>
          <w:bCs/>
          <w:szCs w:val="21"/>
        </w:rPr>
      </w:pPr>
      <w:r>
        <w:rPr>
          <w:rFonts w:hint="eastAsia" w:ascii="宋体" w:hAnsi="宋体" w:cs="宋体"/>
          <w:b/>
          <w:bCs/>
          <w:szCs w:val="21"/>
        </w:rPr>
        <w:t>附《营业执照》（副本）、《一般纳税人证明》复印件</w:t>
      </w:r>
    </w:p>
    <w:p>
      <w:pPr>
        <w:spacing w:line="240" w:lineRule="atLeast"/>
        <w:rPr>
          <w:rFonts w:ascii="宋体" w:hAnsi="宋体" w:cs="宋体"/>
          <w:b/>
          <w:bCs/>
          <w:szCs w:val="21"/>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spacing w:line="240" w:lineRule="atLeast"/>
        <w:rPr>
          <w:rFonts w:ascii="宋体" w:hAnsi="宋体" w:cs="宋体"/>
        </w:rPr>
      </w:pPr>
    </w:p>
    <w:p>
      <w:pPr>
        <w:pStyle w:val="2"/>
      </w:pPr>
    </w:p>
    <w:p>
      <w:pPr>
        <w:snapToGrid w:val="0"/>
        <w:spacing w:line="360" w:lineRule="auto"/>
        <w:rPr>
          <w:rFonts w:ascii="宋体" w:hAnsi="宋体" w:cs="宋体"/>
          <w:sz w:val="32"/>
          <w:szCs w:val="32"/>
        </w:rPr>
      </w:pPr>
      <w:r>
        <w:rPr>
          <w:rFonts w:hint="eastAsia" w:ascii="宋体" w:hAnsi="宋体" w:cs="宋体"/>
          <w:sz w:val="32"/>
          <w:szCs w:val="32"/>
        </w:rPr>
        <w:t>5.2、财务状况</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4394"/>
        <w:gridCol w:w="34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jc w:val="center"/>
        </w:trPr>
        <w:tc>
          <w:tcPr>
            <w:tcW w:w="664" w:type="dxa"/>
          </w:tcPr>
          <w:p>
            <w:pPr>
              <w:rPr>
                <w:rFonts w:ascii="宋体" w:hAnsi="宋体" w:cs="宋体"/>
                <w:szCs w:val="21"/>
              </w:rPr>
            </w:pPr>
            <w:r>
              <w:rPr>
                <w:rFonts w:hint="eastAsia" w:ascii="宋体" w:hAnsi="宋体" w:cs="宋体"/>
                <w:szCs w:val="21"/>
              </w:rPr>
              <w:t>序号</w:t>
            </w:r>
          </w:p>
        </w:tc>
        <w:tc>
          <w:tcPr>
            <w:tcW w:w="4394" w:type="dxa"/>
          </w:tcPr>
          <w:p>
            <w:pPr>
              <w:rPr>
                <w:rFonts w:ascii="宋体" w:hAnsi="宋体" w:cs="宋体"/>
                <w:szCs w:val="21"/>
              </w:rPr>
            </w:pPr>
            <w:r>
              <w:rPr>
                <w:rFonts w:hint="eastAsia" w:ascii="宋体" w:hAnsi="宋体" w:cs="宋体"/>
                <w:szCs w:val="21"/>
              </w:rPr>
              <w:t>强制资格条条件</w:t>
            </w:r>
          </w:p>
        </w:tc>
        <w:tc>
          <w:tcPr>
            <w:tcW w:w="3464" w:type="dxa"/>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3" w:hRule="atLeast"/>
          <w:jc w:val="center"/>
        </w:trPr>
        <w:tc>
          <w:tcPr>
            <w:tcW w:w="664" w:type="dxa"/>
          </w:tcPr>
          <w:p>
            <w:pPr>
              <w:rPr>
                <w:rFonts w:ascii="宋体" w:hAnsi="宋体" w:cs="宋体"/>
                <w:szCs w:val="21"/>
              </w:rPr>
            </w:pPr>
            <w:r>
              <w:rPr>
                <w:rFonts w:hint="eastAsia" w:ascii="宋体" w:hAnsi="宋体" w:cs="宋体"/>
                <w:szCs w:val="21"/>
              </w:rPr>
              <w:t>1</w:t>
            </w:r>
          </w:p>
        </w:tc>
        <w:tc>
          <w:tcPr>
            <w:tcW w:w="4394" w:type="dxa"/>
          </w:tcPr>
          <w:p>
            <w:pPr>
              <w:rPr>
                <w:rFonts w:ascii="宋体" w:hAnsi="宋体" w:cs="宋体"/>
                <w:szCs w:val="21"/>
              </w:rPr>
            </w:pPr>
            <w:r>
              <w:rPr>
                <w:rFonts w:hint="eastAsia" w:ascii="宋体" w:hAnsi="宋体" w:cs="宋体"/>
                <w:szCs w:val="21"/>
              </w:rPr>
              <w:t>注册资金</w:t>
            </w:r>
          </w:p>
        </w:tc>
        <w:tc>
          <w:tcPr>
            <w:tcW w:w="3464" w:type="dxa"/>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jc w:val="center"/>
        </w:trPr>
        <w:tc>
          <w:tcPr>
            <w:tcW w:w="664" w:type="dxa"/>
          </w:tcPr>
          <w:p>
            <w:pPr>
              <w:rPr>
                <w:rFonts w:ascii="宋体" w:hAnsi="宋体" w:cs="宋体"/>
                <w:szCs w:val="21"/>
              </w:rPr>
            </w:pPr>
            <w:r>
              <w:rPr>
                <w:rFonts w:hint="eastAsia" w:ascii="宋体" w:hAnsi="宋体" w:cs="宋体"/>
                <w:szCs w:val="21"/>
              </w:rPr>
              <w:t>2</w:t>
            </w:r>
          </w:p>
        </w:tc>
        <w:tc>
          <w:tcPr>
            <w:tcW w:w="4394" w:type="dxa"/>
          </w:tcPr>
          <w:p>
            <w:pPr>
              <w:rPr>
                <w:rFonts w:ascii="宋体" w:hAnsi="宋体" w:cs="宋体"/>
                <w:szCs w:val="21"/>
              </w:rPr>
            </w:pPr>
            <w:r>
              <w:rPr>
                <w:rFonts w:hint="eastAsia" w:ascii="宋体" w:hAnsi="宋体" w:cs="宋体"/>
                <w:szCs w:val="21"/>
              </w:rPr>
              <w:t>净资产</w:t>
            </w:r>
          </w:p>
        </w:tc>
        <w:tc>
          <w:tcPr>
            <w:tcW w:w="3464" w:type="dxa"/>
          </w:tcPr>
          <w:p>
            <w:pPr>
              <w:rPr>
                <w:rFonts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64" w:type="dxa"/>
            <w:shd w:val="clear" w:color="auto" w:fill="auto"/>
          </w:tcPr>
          <w:p>
            <w:pPr>
              <w:rPr>
                <w:rFonts w:ascii="宋体" w:hAnsi="宋体" w:cs="宋体"/>
                <w:szCs w:val="21"/>
              </w:rPr>
            </w:pPr>
            <w:r>
              <w:rPr>
                <w:rFonts w:hint="eastAsia" w:ascii="宋体" w:hAnsi="宋体" w:cs="宋体"/>
                <w:szCs w:val="21"/>
              </w:rPr>
              <w:t>3</w:t>
            </w:r>
          </w:p>
        </w:tc>
        <w:tc>
          <w:tcPr>
            <w:tcW w:w="4394" w:type="dxa"/>
            <w:shd w:val="clear" w:color="auto" w:fill="auto"/>
          </w:tcPr>
          <w:p>
            <w:pPr>
              <w:rPr>
                <w:rFonts w:ascii="宋体" w:hAnsi="宋体" w:cs="宋体"/>
                <w:szCs w:val="21"/>
              </w:rPr>
            </w:pPr>
            <w:r>
              <w:rPr>
                <w:rFonts w:hint="eastAsia" w:ascii="宋体" w:hAnsi="宋体" w:cs="宋体"/>
                <w:szCs w:val="21"/>
              </w:rPr>
              <w:t>具备良好的财务状况、盈利能力以及银行信誉</w:t>
            </w:r>
          </w:p>
          <w:p>
            <w:pPr>
              <w:rPr>
                <w:rFonts w:ascii="宋体" w:hAnsi="宋体" w:cs="宋体"/>
                <w:szCs w:val="21"/>
              </w:rPr>
            </w:pPr>
            <w:r>
              <w:rPr>
                <w:rFonts w:hint="eastAsia" w:ascii="宋体" w:hAnsi="宋体" w:cs="宋体"/>
                <w:szCs w:val="21"/>
              </w:rPr>
              <w:t>（申请人须至少提供2017、2018、2019年度经审计的财务报表，内容包括资产负债表、损益表、现金流量表等）</w:t>
            </w:r>
          </w:p>
        </w:tc>
        <w:tc>
          <w:tcPr>
            <w:tcW w:w="3464" w:type="dxa"/>
            <w:shd w:val="clear" w:color="auto" w:fill="92D050"/>
            <w:vAlign w:val="center"/>
          </w:tcPr>
          <w:p>
            <w:pPr>
              <w:jc w:val="center"/>
              <w:rPr>
                <w:rFonts w:ascii="宋体" w:hAnsi="宋体" w:cs="宋体"/>
                <w:szCs w:val="21"/>
              </w:rPr>
            </w:pPr>
            <w:r>
              <w:rPr>
                <w:rFonts w:hint="eastAsia" w:ascii="宋体" w:hAnsi="宋体" w:cs="宋体"/>
                <w:b/>
                <w:bCs/>
                <w:szCs w:val="21"/>
              </w:rPr>
              <w:t>必须单独附报表，不能简单填数字。否则视为废标。</w:t>
            </w:r>
          </w:p>
        </w:tc>
      </w:tr>
    </w:tbl>
    <w:p>
      <w:pPr>
        <w:rPr>
          <w:rFonts w:ascii="宋体" w:hAnsi="宋体" w:cs="宋体"/>
          <w:szCs w:val="21"/>
        </w:rPr>
      </w:pPr>
      <w:r>
        <w:rPr>
          <w:rFonts w:hint="eastAsia" w:ascii="宋体" w:hAnsi="宋体" w:cs="宋体"/>
          <w:szCs w:val="21"/>
        </w:rPr>
        <w:t>注：申请人银行信誉应提供例如银行资信等级、银行信贷证明等相关证明文件。</w:t>
      </w:r>
    </w:p>
    <w:p>
      <w:pPr>
        <w:shd w:val="clear" w:color="auto" w:fill="92D050"/>
        <w:rPr>
          <w:rFonts w:ascii="宋体" w:hAnsi="宋体" w:cs="宋体"/>
          <w:szCs w:val="21"/>
        </w:rPr>
      </w:pPr>
      <w:r>
        <w:rPr>
          <w:rFonts w:hint="eastAsia" w:ascii="宋体" w:hAnsi="宋体" w:cs="宋体"/>
          <w:b/>
          <w:bCs/>
          <w:szCs w:val="21"/>
        </w:rPr>
        <w:t>投标人必须如实填写并上报，如发现瞒报、虚报等失实情况，将取消其投标资格。</w:t>
      </w:r>
    </w:p>
    <w:p>
      <w:pPr>
        <w:rPr>
          <w:rFonts w:ascii="宋体" w:hAnsi="宋体" w:cs="宋体"/>
          <w:szCs w:val="21"/>
        </w:rPr>
      </w:pPr>
    </w:p>
    <w:p>
      <w:pPr>
        <w:spacing w:line="500" w:lineRule="exact"/>
        <w:rPr>
          <w:rFonts w:ascii="宋体" w:hAnsi="宋体" w:cs="宋体"/>
          <w:sz w:val="20"/>
          <w:u w:val="single"/>
        </w:rPr>
      </w:pPr>
      <w:r>
        <w:rPr>
          <w:rFonts w:hint="eastAsia" w:ascii="宋体" w:hAnsi="宋体" w:cs="宋体"/>
          <w:sz w:val="20"/>
        </w:rPr>
        <w:t>申请人：</w:t>
      </w:r>
      <w:r>
        <w:rPr>
          <w:rFonts w:hint="eastAsia" w:ascii="宋体" w:hAnsi="宋体" w:cs="宋体"/>
          <w:b/>
          <w:sz w:val="20"/>
          <w:u w:val="single"/>
        </w:rPr>
        <w:t xml:space="preserve">                     </w:t>
      </w:r>
      <w:r>
        <w:rPr>
          <w:rFonts w:hint="eastAsia" w:ascii="宋体" w:hAnsi="宋体" w:cs="宋体"/>
          <w:sz w:val="20"/>
        </w:rPr>
        <w:t>（公章）   授权代表（签字）：</w:t>
      </w:r>
      <w:r>
        <w:rPr>
          <w:rFonts w:hint="eastAsia" w:ascii="宋体" w:hAnsi="宋体" w:cs="宋体"/>
          <w:sz w:val="20"/>
          <w:u w:val="single"/>
        </w:rPr>
        <w:t xml:space="preserve">                     </w:t>
      </w:r>
    </w:p>
    <w:p>
      <w:pPr>
        <w:widowControl/>
        <w:jc w:val="left"/>
        <w:rPr>
          <w:rFonts w:ascii="宋体" w:hAnsi="宋体" w:cs="宋体"/>
          <w:szCs w:val="21"/>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widowControl/>
        <w:jc w:val="center"/>
        <w:rPr>
          <w:rFonts w:ascii="宋体" w:hAnsi="宋体" w:cs="宋体"/>
          <w:b/>
          <w:bCs/>
          <w:sz w:val="28"/>
          <w:szCs w:val="28"/>
        </w:rPr>
      </w:pPr>
      <w:r>
        <w:rPr>
          <w:rFonts w:hint="eastAsia" w:ascii="宋体" w:hAnsi="宋体" w:cs="宋体"/>
          <w:b/>
          <w:bCs/>
          <w:sz w:val="28"/>
          <w:szCs w:val="28"/>
        </w:rPr>
        <w:t>近3年完税证明（一年一期）</w:t>
      </w:r>
    </w:p>
    <w:p>
      <w:pPr>
        <w:widowControl/>
        <w:jc w:val="center"/>
        <w:rPr>
          <w:rFonts w:ascii="宋体" w:hAnsi="宋体" w:cs="宋体"/>
          <w:b/>
          <w:bCs/>
          <w:sz w:val="28"/>
          <w:szCs w:val="28"/>
        </w:rPr>
      </w:pPr>
      <w:r>
        <w:rPr>
          <w:rFonts w:hint="eastAsia" w:ascii="宋体" w:hAnsi="宋体" w:cs="宋体"/>
          <w:b/>
          <w:bCs/>
          <w:sz w:val="28"/>
          <w:szCs w:val="28"/>
        </w:rPr>
        <w:t>（请参标单位提供详细附表）</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spacing w:line="360" w:lineRule="auto"/>
        <w:jc w:val="center"/>
        <w:rPr>
          <w:rFonts w:ascii="宋体" w:hAnsi="宋体" w:cs="宋体"/>
          <w:szCs w:val="24"/>
        </w:rPr>
      </w:pPr>
      <w:r>
        <w:rPr>
          <w:rFonts w:hint="eastAsia" w:ascii="宋体" w:hAnsi="宋体" w:cs="宋体"/>
          <w:b/>
          <w:bCs/>
          <w:sz w:val="28"/>
          <w:szCs w:val="28"/>
        </w:rPr>
        <w:t>近3年发生的诉讼及仲裁情况</w:t>
      </w:r>
    </w:p>
    <w:p>
      <w:pPr>
        <w:spacing w:line="360" w:lineRule="auto"/>
        <w:rPr>
          <w:rFonts w:ascii="宋体" w:hAnsi="宋体" w:cs="宋体"/>
        </w:rPr>
      </w:pPr>
    </w:p>
    <w:tbl>
      <w:tblPr>
        <w:tblStyle w:val="21"/>
        <w:tblW w:w="0" w:type="auto"/>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708"/>
        <w:gridCol w:w="1788"/>
        <w:gridCol w:w="2732"/>
        <w:gridCol w:w="261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vAlign w:val="center"/>
          </w:tcPr>
          <w:p>
            <w:pPr>
              <w:spacing w:line="360" w:lineRule="auto"/>
              <w:jc w:val="center"/>
              <w:rPr>
                <w:rFonts w:ascii="宋体" w:hAnsi="宋体" w:cs="宋体"/>
              </w:rPr>
            </w:pPr>
            <w:r>
              <w:rPr>
                <w:rFonts w:hint="eastAsia" w:ascii="宋体" w:hAnsi="宋体" w:cs="宋体"/>
              </w:rPr>
              <w:t>序号</w:t>
            </w:r>
          </w:p>
        </w:tc>
        <w:tc>
          <w:tcPr>
            <w:tcW w:w="1788" w:type="dxa"/>
            <w:vAlign w:val="center"/>
          </w:tcPr>
          <w:p>
            <w:pPr>
              <w:spacing w:line="360" w:lineRule="auto"/>
              <w:jc w:val="center"/>
              <w:rPr>
                <w:rFonts w:ascii="宋体" w:hAnsi="宋体" w:cs="宋体"/>
              </w:rPr>
            </w:pPr>
            <w:r>
              <w:rPr>
                <w:rFonts w:hint="eastAsia" w:ascii="宋体" w:hAnsi="宋体" w:cs="宋体"/>
              </w:rPr>
              <w:t>案由</w:t>
            </w:r>
          </w:p>
        </w:tc>
        <w:tc>
          <w:tcPr>
            <w:tcW w:w="2732" w:type="dxa"/>
            <w:vAlign w:val="center"/>
          </w:tcPr>
          <w:p>
            <w:pPr>
              <w:spacing w:line="360" w:lineRule="auto"/>
              <w:jc w:val="center"/>
              <w:rPr>
                <w:rFonts w:ascii="宋体" w:hAnsi="宋体" w:cs="宋体"/>
              </w:rPr>
            </w:pPr>
            <w:r>
              <w:rPr>
                <w:rFonts w:hint="eastAsia" w:ascii="宋体" w:hAnsi="宋体" w:cs="宋体"/>
              </w:rPr>
              <w:t>双方当事人名称</w:t>
            </w:r>
          </w:p>
        </w:tc>
        <w:tc>
          <w:tcPr>
            <w:tcW w:w="2613" w:type="dxa"/>
            <w:vAlign w:val="center"/>
          </w:tcPr>
          <w:p>
            <w:pPr>
              <w:spacing w:line="360" w:lineRule="auto"/>
              <w:jc w:val="center"/>
              <w:rPr>
                <w:rFonts w:ascii="宋体" w:hAnsi="宋体" w:cs="宋体"/>
              </w:rPr>
            </w:pPr>
            <w:r>
              <w:rPr>
                <w:rFonts w:hint="eastAsia" w:ascii="宋体" w:hAnsi="宋体" w:cs="宋体"/>
              </w:rPr>
              <w:t>处理结果或进展情况</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tcPr>
          <w:p>
            <w:pPr>
              <w:spacing w:line="360" w:lineRule="auto"/>
              <w:rPr>
                <w:rFonts w:ascii="宋体" w:hAnsi="宋体" w:cs="宋体"/>
              </w:rPr>
            </w:pPr>
          </w:p>
        </w:tc>
        <w:tc>
          <w:tcPr>
            <w:tcW w:w="1788" w:type="dxa"/>
          </w:tcPr>
          <w:p>
            <w:pPr>
              <w:spacing w:line="360" w:lineRule="auto"/>
              <w:rPr>
                <w:rFonts w:ascii="宋体" w:hAnsi="宋体" w:cs="宋体"/>
              </w:rPr>
            </w:pPr>
          </w:p>
        </w:tc>
        <w:tc>
          <w:tcPr>
            <w:tcW w:w="2732" w:type="dxa"/>
          </w:tcPr>
          <w:p>
            <w:pPr>
              <w:spacing w:line="360" w:lineRule="auto"/>
              <w:rPr>
                <w:rFonts w:ascii="宋体" w:hAnsi="宋体" w:cs="宋体"/>
              </w:rPr>
            </w:pPr>
          </w:p>
        </w:tc>
        <w:tc>
          <w:tcPr>
            <w:tcW w:w="2613" w:type="dxa"/>
          </w:tcPr>
          <w:p>
            <w:pPr>
              <w:spacing w:line="360" w:lineRule="auto"/>
              <w:rPr>
                <w:rFonts w:ascii="宋体" w:hAnsi="宋体" w:cs="宋体"/>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67" w:hRule="exact"/>
          <w:jc w:val="center"/>
        </w:trPr>
        <w:tc>
          <w:tcPr>
            <w:tcW w:w="1708" w:type="dxa"/>
          </w:tcPr>
          <w:p>
            <w:pPr>
              <w:spacing w:line="360" w:lineRule="auto"/>
              <w:rPr>
                <w:rFonts w:ascii="宋体" w:hAnsi="宋体" w:cs="宋体"/>
              </w:rPr>
            </w:pPr>
          </w:p>
        </w:tc>
        <w:tc>
          <w:tcPr>
            <w:tcW w:w="1788" w:type="dxa"/>
          </w:tcPr>
          <w:p>
            <w:pPr>
              <w:spacing w:line="360" w:lineRule="auto"/>
              <w:rPr>
                <w:rFonts w:ascii="宋体" w:hAnsi="宋体" w:cs="宋体"/>
              </w:rPr>
            </w:pPr>
          </w:p>
        </w:tc>
        <w:tc>
          <w:tcPr>
            <w:tcW w:w="2732" w:type="dxa"/>
          </w:tcPr>
          <w:p>
            <w:pPr>
              <w:spacing w:line="360" w:lineRule="auto"/>
              <w:rPr>
                <w:rFonts w:ascii="宋体" w:hAnsi="宋体" w:cs="宋体"/>
              </w:rPr>
            </w:pPr>
          </w:p>
        </w:tc>
        <w:tc>
          <w:tcPr>
            <w:tcW w:w="2613" w:type="dxa"/>
          </w:tcPr>
          <w:p>
            <w:pPr>
              <w:spacing w:line="360" w:lineRule="auto"/>
              <w:rPr>
                <w:rFonts w:ascii="宋体" w:hAnsi="宋体" w:cs="宋体"/>
              </w:rPr>
            </w:pPr>
          </w:p>
        </w:tc>
      </w:tr>
    </w:tbl>
    <w:p>
      <w:pPr>
        <w:spacing w:line="360" w:lineRule="auto"/>
        <w:rPr>
          <w:rFonts w:ascii="宋体" w:hAnsi="宋体" w:cs="宋体"/>
        </w:rPr>
      </w:pPr>
    </w:p>
    <w:p>
      <w:pPr>
        <w:spacing w:line="360" w:lineRule="auto"/>
        <w:rPr>
          <w:rFonts w:ascii="宋体" w:hAnsi="宋体" w:cs="宋体"/>
          <w:szCs w:val="21"/>
        </w:rPr>
      </w:pPr>
      <w:r>
        <w:rPr>
          <w:rFonts w:hint="eastAsia" w:ascii="宋体" w:hAnsi="宋体" w:cs="宋体"/>
          <w:szCs w:val="21"/>
        </w:rPr>
        <w:t>注：（1）本表为调查表。不得因投标人发生过诉讼及仲裁事项作为废标处理或作为量化因素或评分因素，除非其中的内容涉及其他规定的评标标准，或导致中标后合同不能履行。</w:t>
      </w:r>
    </w:p>
    <w:p>
      <w:pPr>
        <w:spacing w:line="360" w:lineRule="auto"/>
        <w:rPr>
          <w:rFonts w:ascii="宋体" w:hAnsi="宋体" w:cs="宋体"/>
          <w:szCs w:val="21"/>
        </w:rPr>
      </w:pPr>
      <w:r>
        <w:rPr>
          <w:rFonts w:hint="eastAsia" w:ascii="宋体" w:hAnsi="宋体" w:cs="宋体"/>
          <w:szCs w:val="21"/>
        </w:rPr>
        <w:t>（2）诉讼及仲裁情况是指发生于项目招投标和中标合同履行过程中发生的诉讼和仲裁事项，以及投标人认为对其生产经营活动产生重大影响的其他诉讼及仲裁事项。</w:t>
      </w:r>
    </w:p>
    <w:p>
      <w:pPr>
        <w:spacing w:line="360" w:lineRule="auto"/>
        <w:rPr>
          <w:rFonts w:ascii="宋体" w:hAnsi="宋体" w:cs="宋体"/>
          <w:szCs w:val="21"/>
        </w:rPr>
      </w:pPr>
      <w:r>
        <w:rPr>
          <w:rFonts w:hint="eastAsia" w:ascii="宋体" w:hAnsi="宋体" w:cs="宋体"/>
          <w:szCs w:val="21"/>
        </w:rPr>
        <w:t>（3）诉讼包括民事诉讼和行政诉讼；仲裁是指争议双方的当事人自愿将他们之间的纠纷提交仲裁机构，由仲裁机械以第三者的身份进行裁决。</w:t>
      </w:r>
    </w:p>
    <w:p>
      <w:pPr>
        <w:spacing w:line="360" w:lineRule="auto"/>
        <w:rPr>
          <w:rFonts w:ascii="宋体" w:hAnsi="宋体" w:cs="宋体"/>
          <w:szCs w:val="21"/>
        </w:rPr>
      </w:pPr>
      <w:r>
        <w:rPr>
          <w:rFonts w:hint="eastAsia" w:ascii="宋体" w:hAnsi="宋体" w:cs="宋体"/>
          <w:szCs w:val="21"/>
        </w:rPr>
        <w:t>（4）“案由”是事情的原由、名称、由来，当事人争议法律关系的类别，或诉讼仲裁情况的内容提要。如“工程款结算纠纷”。</w:t>
      </w:r>
    </w:p>
    <w:p>
      <w:pPr>
        <w:spacing w:line="360" w:lineRule="auto"/>
        <w:rPr>
          <w:rFonts w:ascii="宋体" w:hAnsi="宋体" w:cs="宋体"/>
          <w:szCs w:val="21"/>
        </w:rPr>
      </w:pPr>
      <w:r>
        <w:rPr>
          <w:rFonts w:hint="eastAsia" w:ascii="宋体" w:hAnsi="宋体" w:cs="宋体"/>
          <w:szCs w:val="21"/>
        </w:rPr>
        <w:t>（5）“双方当事人名称”是指投标人在诉讼、仲裁中原告（申请人）、被告（被申请人）或第三人的单位名称。</w:t>
      </w:r>
    </w:p>
    <w:p>
      <w:pPr>
        <w:spacing w:line="360" w:lineRule="auto"/>
        <w:rPr>
          <w:rFonts w:ascii="宋体" w:hAnsi="宋体" w:cs="宋体"/>
          <w:szCs w:val="21"/>
        </w:rPr>
      </w:pPr>
      <w:r>
        <w:rPr>
          <w:rFonts w:hint="eastAsia" w:ascii="宋体" w:hAnsi="宋体" w:cs="宋体"/>
          <w:szCs w:val="21"/>
        </w:rPr>
        <w:t>（6）诉讼、仲裁的起算时间为：提起诉讼、仲裁被受理的时间，或收到法院、仲裁机构诉讼、仲裁文书的时间。</w:t>
      </w:r>
    </w:p>
    <w:p>
      <w:pPr>
        <w:spacing w:line="360" w:lineRule="auto"/>
        <w:rPr>
          <w:rFonts w:ascii="宋体" w:hAnsi="宋体" w:cs="宋体"/>
          <w:szCs w:val="21"/>
        </w:rPr>
      </w:pPr>
      <w:r>
        <w:rPr>
          <w:rFonts w:hint="eastAsia" w:ascii="宋体" w:hAnsi="宋体" w:cs="宋体"/>
          <w:szCs w:val="21"/>
        </w:rPr>
        <w:t>（7）诉讼、仲裁已有处理结果的，应附材料见第二章“投标人须知”3.5.5；还没有处理结果，应说明进展情况，如某某人民法院于某年某月某日已经受理。</w:t>
      </w:r>
    </w:p>
    <w:p>
      <w:pPr>
        <w:spacing w:line="360" w:lineRule="auto"/>
        <w:rPr>
          <w:rFonts w:ascii="宋体" w:hAnsi="宋体" w:cs="宋体"/>
          <w:b/>
          <w:szCs w:val="21"/>
        </w:rPr>
      </w:pPr>
      <w:r>
        <w:rPr>
          <w:rFonts w:hint="eastAsia" w:ascii="宋体" w:hAnsi="宋体" w:cs="宋体"/>
          <w:b/>
          <w:szCs w:val="21"/>
        </w:rPr>
        <w:t>（8）如近3年没有发生的诉讼及仲裁情况，投标人在编制投标文件时，删除表格，另声明“经本投标人认真核查，本投标人近3年没有发生诉讼及仲裁纠纷，如不实，构成虚假，自愿承担由此引起的法律责任。特此声明。”</w:t>
      </w:r>
    </w:p>
    <w:p>
      <w:pPr>
        <w:spacing w:line="360" w:lineRule="auto"/>
        <w:rPr>
          <w:rFonts w:ascii="宋体" w:hAnsi="宋体" w:cs="宋体"/>
          <w:szCs w:val="21"/>
        </w:rPr>
      </w:pPr>
      <w:r>
        <w:rPr>
          <w:rFonts w:hint="eastAsia" w:ascii="宋体" w:hAnsi="宋体" w:cs="宋体"/>
          <w:szCs w:val="21"/>
        </w:rPr>
        <w:t>（9）按政府发改政策〔2009〕1313号文的解释，“项目招投标和中标合同履行过程中发生的诉讼及仲裁事项”是指：</w:t>
      </w:r>
    </w:p>
    <w:p>
      <w:pPr>
        <w:spacing w:line="360" w:lineRule="auto"/>
        <w:rPr>
          <w:rFonts w:ascii="宋体" w:hAnsi="宋体" w:cs="宋体"/>
          <w:szCs w:val="21"/>
        </w:rPr>
      </w:pPr>
      <w:r>
        <w:rPr>
          <w:rFonts w:hint="eastAsia" w:ascii="宋体" w:hAnsi="宋体" w:cs="宋体"/>
          <w:szCs w:val="21"/>
        </w:rPr>
        <w:t>① 既包括投标人作为原告（申请人），也包括投标人作为被告（被申请人）或作为第三人。</w:t>
      </w:r>
    </w:p>
    <w:p>
      <w:pPr>
        <w:spacing w:line="360" w:lineRule="auto"/>
        <w:rPr>
          <w:rFonts w:ascii="宋体" w:hAnsi="宋体" w:cs="宋体"/>
          <w:szCs w:val="21"/>
        </w:rPr>
      </w:pPr>
      <w:r>
        <w:rPr>
          <w:rFonts w:hint="eastAsia" w:ascii="宋体" w:hAnsi="宋体" w:cs="宋体"/>
          <w:szCs w:val="21"/>
        </w:rPr>
        <w:t>② 既包括投标人与项目业主发生的诉讼及仲裁，也包括项目招投标和中标合同履行过程中投标人与其他人（法人、其他组织或个人）发生的诉讼及仲裁。</w:t>
      </w:r>
    </w:p>
    <w:p>
      <w:pPr>
        <w:spacing w:line="360" w:lineRule="auto"/>
        <w:rPr>
          <w:rFonts w:ascii="宋体" w:hAnsi="宋体" w:cs="宋体"/>
          <w:szCs w:val="21"/>
        </w:rPr>
      </w:pPr>
      <w:r>
        <w:rPr>
          <w:rFonts w:hint="eastAsia" w:ascii="宋体" w:hAnsi="宋体" w:cs="宋体"/>
          <w:szCs w:val="21"/>
        </w:rPr>
        <w:t>③ 既包括因外部纠纷引起的诉讼及仲裁，也包括投标人在招投标和中标合同履行过程中因投标、转包、分包、设备和材料采购、劳动合同等内部纠纷引起的诉讼及仲裁。</w:t>
      </w:r>
    </w:p>
    <w:p>
      <w:pPr>
        <w:spacing w:line="360" w:lineRule="auto"/>
        <w:rPr>
          <w:rFonts w:ascii="宋体" w:hAnsi="宋体" w:cs="宋体"/>
          <w:szCs w:val="21"/>
        </w:rPr>
      </w:pPr>
      <w:r>
        <w:rPr>
          <w:rFonts w:hint="eastAsia" w:ascii="宋体" w:hAnsi="宋体" w:cs="宋体"/>
          <w:szCs w:val="21"/>
        </w:rPr>
        <w:t>④ 不管判决和裁定、仲裁裁决的结果如何，或在诉讼及仲裁过程中和解（调解）结案或撤诉（撤回仲裁申请）等，只要是被人民法院或仲裁委员会受理的诉讼及仲裁事项都应申报。</w:t>
      </w:r>
    </w:p>
    <w:p>
      <w:pPr>
        <w:widowControl/>
        <w:jc w:val="left"/>
        <w:rPr>
          <w:rFonts w:ascii="宋体" w:hAnsi="宋体" w:cs="宋体"/>
          <w:b/>
          <w:bCs/>
          <w:sz w:val="24"/>
          <w:szCs w:val="24"/>
        </w:rPr>
      </w:pPr>
      <w:r>
        <w:rPr>
          <w:rFonts w:hint="eastAsia" w:ascii="宋体" w:hAnsi="宋体" w:cs="宋体"/>
          <w:szCs w:val="21"/>
        </w:rPr>
        <w:t>⑤ 投标人隐瞒招标文件要求提供的“近3年发生的诉讼及仲裁情况”，拒不申报或不全部申报诉讼及仲裁信息，或者提供“经本投标人认真核查，本投标人近3年没有发生诉讼及仲裁纠纷”的虚假、引人误解的声明信息，属于《招标投标法》第三十三条规定的弄虚作假行为。</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rPr>
          <w:rFonts w:hAnsi="宋体"/>
          <w:b/>
          <w:bCs/>
          <w:sz w:val="24"/>
          <w:szCs w:val="24"/>
        </w:rPr>
      </w:pPr>
    </w:p>
    <w:p>
      <w:pPr>
        <w:pStyle w:val="2"/>
        <w:rPr>
          <w:rFonts w:hAnsi="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8"/>
          <w:szCs w:val="28"/>
        </w:rPr>
      </w:pPr>
      <w:r>
        <w:rPr>
          <w:rFonts w:hint="eastAsia" w:ascii="宋体" w:hAnsi="宋体" w:cs="宋体"/>
          <w:b/>
          <w:bCs/>
          <w:sz w:val="28"/>
          <w:szCs w:val="28"/>
        </w:rPr>
        <w:t>资产负债表</w:t>
      </w:r>
    </w:p>
    <w:p>
      <w:pPr>
        <w:widowControl/>
        <w:jc w:val="center"/>
        <w:rPr>
          <w:rFonts w:ascii="宋体" w:hAnsi="宋体" w:cs="宋体"/>
          <w:b/>
          <w:bCs/>
          <w:sz w:val="28"/>
          <w:szCs w:val="28"/>
        </w:rPr>
      </w:pPr>
      <w:r>
        <w:rPr>
          <w:rFonts w:hint="eastAsia" w:ascii="宋体" w:hAnsi="宋体" w:cs="宋体"/>
          <w:b/>
          <w:bCs/>
          <w:sz w:val="28"/>
          <w:szCs w:val="28"/>
        </w:rPr>
        <w:t>（请参标单位提供详细附表）</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8"/>
          <w:szCs w:val="28"/>
        </w:rPr>
      </w:pPr>
      <w:r>
        <w:rPr>
          <w:rFonts w:hint="eastAsia" w:ascii="宋体" w:hAnsi="宋体" w:cs="宋体"/>
          <w:b/>
          <w:bCs/>
          <w:sz w:val="28"/>
          <w:szCs w:val="28"/>
        </w:rPr>
        <w:t>现金流量表</w:t>
      </w:r>
    </w:p>
    <w:p>
      <w:pPr>
        <w:widowControl/>
        <w:jc w:val="center"/>
        <w:rPr>
          <w:rFonts w:ascii="宋体" w:hAnsi="宋体" w:cs="宋体"/>
          <w:b/>
          <w:bCs/>
          <w:sz w:val="28"/>
          <w:szCs w:val="28"/>
        </w:rPr>
      </w:pPr>
      <w:r>
        <w:rPr>
          <w:rFonts w:hint="eastAsia" w:ascii="宋体" w:hAnsi="宋体" w:cs="宋体"/>
          <w:b/>
          <w:bCs/>
          <w:sz w:val="28"/>
          <w:szCs w:val="28"/>
        </w:rPr>
        <w:t>（请参标单位提供详细附表）</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8"/>
          <w:szCs w:val="28"/>
        </w:rPr>
      </w:pPr>
      <w:r>
        <w:rPr>
          <w:rFonts w:hint="eastAsia" w:ascii="宋体" w:hAnsi="宋体" w:cs="宋体"/>
          <w:b/>
          <w:bCs/>
          <w:sz w:val="28"/>
          <w:szCs w:val="28"/>
        </w:rPr>
        <w:t>纳税信用评价表</w:t>
      </w:r>
    </w:p>
    <w:p>
      <w:pPr>
        <w:widowControl/>
        <w:jc w:val="center"/>
        <w:rPr>
          <w:rFonts w:ascii="宋体" w:hAnsi="宋体" w:cs="宋体"/>
          <w:b/>
          <w:bCs/>
          <w:sz w:val="28"/>
          <w:szCs w:val="28"/>
        </w:rPr>
      </w:pPr>
      <w:r>
        <w:rPr>
          <w:rFonts w:hint="eastAsia" w:ascii="宋体" w:hAnsi="宋体" w:cs="宋体"/>
          <w:b/>
          <w:bCs/>
          <w:sz w:val="28"/>
          <w:szCs w:val="28"/>
        </w:rPr>
        <w:t>（请参标单位提供详细附表）</w:t>
      </w: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pPr>
    </w:p>
    <w:p>
      <w:pPr>
        <w:widowControl/>
        <w:jc w:val="center"/>
        <w:rPr>
          <w:rFonts w:ascii="宋体" w:hAnsi="宋体" w:cs="宋体"/>
          <w:b/>
          <w:bCs/>
          <w:sz w:val="24"/>
          <w:szCs w:val="24"/>
        </w:rPr>
      </w:pPr>
    </w:p>
    <w:p>
      <w:pPr>
        <w:widowControl/>
        <w:jc w:val="center"/>
        <w:rPr>
          <w:rFonts w:ascii="宋体" w:hAnsi="宋体" w:cs="宋体"/>
          <w:b/>
          <w:bCs/>
          <w:sz w:val="24"/>
          <w:szCs w:val="24"/>
        </w:rPr>
      </w:pPr>
    </w:p>
    <w:p>
      <w:pPr>
        <w:pStyle w:val="2"/>
        <w:rPr>
          <w:rFonts w:hAnsi="宋体"/>
        </w:rPr>
      </w:pPr>
    </w:p>
    <w:p>
      <w:pPr>
        <w:pStyle w:val="2"/>
        <w:rPr>
          <w:rFonts w:hAnsi="宋体"/>
        </w:rPr>
      </w:pPr>
    </w:p>
    <w:p>
      <w:pPr>
        <w:wordWrap w:val="0"/>
        <w:spacing w:line="360" w:lineRule="auto"/>
        <w:rPr>
          <w:rFonts w:ascii="宋体" w:hAnsi="宋体" w:cs="宋体"/>
          <w:sz w:val="32"/>
          <w:szCs w:val="32"/>
        </w:rPr>
      </w:pPr>
      <w:r>
        <w:rPr>
          <w:rFonts w:hint="eastAsia" w:ascii="宋体" w:hAnsi="宋体" w:cs="宋体"/>
          <w:sz w:val="32"/>
          <w:szCs w:val="32"/>
        </w:rPr>
        <w:t>5.3、2017~2019年度中国地区销售业绩表</w:t>
      </w:r>
    </w:p>
    <w:p>
      <w:pPr>
        <w:rPr>
          <w:rFonts w:ascii="宋体" w:hAnsi="宋体" w:cs="宋体"/>
          <w:sz w:val="24"/>
        </w:rPr>
      </w:pPr>
    </w:p>
    <w:tbl>
      <w:tblPr>
        <w:tblStyle w:val="21"/>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160"/>
        <w:gridCol w:w="2160"/>
        <w:gridCol w:w="18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序号</w:t>
            </w:r>
          </w:p>
        </w:tc>
        <w:tc>
          <w:tcPr>
            <w:tcW w:w="2160" w:type="dxa"/>
            <w:vAlign w:val="center"/>
          </w:tcPr>
          <w:p>
            <w:pPr>
              <w:spacing w:line="360" w:lineRule="auto"/>
              <w:jc w:val="center"/>
              <w:rPr>
                <w:rFonts w:ascii="宋体" w:hAnsi="宋体" w:cs="宋体"/>
                <w:sz w:val="20"/>
              </w:rPr>
            </w:pPr>
            <w:r>
              <w:rPr>
                <w:rFonts w:hint="eastAsia" w:ascii="宋体" w:hAnsi="宋体" w:cs="宋体"/>
                <w:sz w:val="20"/>
              </w:rPr>
              <w:t>用户名称</w:t>
            </w:r>
          </w:p>
        </w:tc>
        <w:tc>
          <w:tcPr>
            <w:tcW w:w="2160" w:type="dxa"/>
            <w:vAlign w:val="center"/>
          </w:tcPr>
          <w:p>
            <w:pPr>
              <w:spacing w:line="360" w:lineRule="auto"/>
              <w:jc w:val="center"/>
              <w:rPr>
                <w:rFonts w:ascii="宋体" w:hAnsi="宋体" w:cs="宋体"/>
                <w:sz w:val="20"/>
              </w:rPr>
            </w:pPr>
            <w:r>
              <w:rPr>
                <w:rFonts w:hint="eastAsia" w:ascii="宋体" w:hAnsi="宋体" w:cs="宋体"/>
                <w:sz w:val="20"/>
              </w:rPr>
              <w:t>合同金额（万元）</w:t>
            </w:r>
          </w:p>
        </w:tc>
        <w:tc>
          <w:tcPr>
            <w:tcW w:w="1800" w:type="dxa"/>
            <w:vAlign w:val="center"/>
          </w:tcPr>
          <w:p>
            <w:pPr>
              <w:spacing w:line="360" w:lineRule="auto"/>
              <w:jc w:val="center"/>
              <w:rPr>
                <w:rFonts w:ascii="宋体" w:hAnsi="宋体" w:cs="宋体"/>
                <w:sz w:val="20"/>
              </w:rPr>
            </w:pPr>
            <w:r>
              <w:rPr>
                <w:rFonts w:hint="eastAsia" w:ascii="宋体" w:hAnsi="宋体" w:cs="宋体"/>
                <w:sz w:val="20"/>
              </w:rPr>
              <w:t>完成时间</w:t>
            </w:r>
          </w:p>
        </w:tc>
        <w:tc>
          <w:tcPr>
            <w:tcW w:w="1800" w:type="dxa"/>
            <w:vAlign w:val="center"/>
          </w:tcPr>
          <w:p>
            <w:pPr>
              <w:spacing w:line="360" w:lineRule="auto"/>
              <w:jc w:val="center"/>
              <w:rPr>
                <w:rFonts w:ascii="宋体" w:hAnsi="宋体" w:cs="宋体"/>
                <w:sz w:val="20"/>
              </w:rPr>
            </w:pPr>
            <w:r>
              <w:rPr>
                <w:rFonts w:hint="eastAsia" w:ascii="宋体" w:hAnsi="宋体" w:cs="宋体"/>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1</w:t>
            </w:r>
          </w:p>
        </w:tc>
        <w:tc>
          <w:tcPr>
            <w:tcW w:w="2160" w:type="dxa"/>
            <w:vAlign w:val="center"/>
          </w:tcPr>
          <w:p>
            <w:pPr>
              <w:spacing w:line="360" w:lineRule="auto"/>
              <w:rPr>
                <w:rFonts w:ascii="宋体" w:hAnsi="宋体" w:cs="宋体"/>
                <w:sz w:val="20"/>
              </w:rPr>
            </w:pP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2</w:t>
            </w:r>
          </w:p>
        </w:tc>
        <w:tc>
          <w:tcPr>
            <w:tcW w:w="2160" w:type="dxa"/>
            <w:vAlign w:val="center"/>
          </w:tcPr>
          <w:p>
            <w:pPr>
              <w:spacing w:line="360" w:lineRule="auto"/>
              <w:rPr>
                <w:rFonts w:ascii="宋体" w:hAnsi="宋体" w:cs="宋体"/>
                <w:sz w:val="20"/>
              </w:rPr>
            </w:pP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3</w:t>
            </w:r>
          </w:p>
        </w:tc>
        <w:tc>
          <w:tcPr>
            <w:tcW w:w="2160" w:type="dxa"/>
            <w:vAlign w:val="center"/>
          </w:tcPr>
          <w:p>
            <w:pPr>
              <w:spacing w:line="360" w:lineRule="auto"/>
              <w:rPr>
                <w:rFonts w:ascii="宋体" w:hAnsi="宋体" w:cs="宋体"/>
                <w:sz w:val="20"/>
              </w:rPr>
            </w:pP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4</w:t>
            </w:r>
          </w:p>
        </w:tc>
        <w:tc>
          <w:tcPr>
            <w:tcW w:w="2160" w:type="dxa"/>
            <w:vAlign w:val="center"/>
          </w:tcPr>
          <w:p>
            <w:pPr>
              <w:spacing w:line="360" w:lineRule="auto"/>
              <w:rPr>
                <w:rFonts w:ascii="宋体" w:hAnsi="宋体" w:cs="宋体"/>
                <w:sz w:val="20"/>
              </w:rPr>
            </w:pP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5</w:t>
            </w:r>
          </w:p>
        </w:tc>
        <w:tc>
          <w:tcPr>
            <w:tcW w:w="2160" w:type="dxa"/>
            <w:vAlign w:val="center"/>
          </w:tcPr>
          <w:p>
            <w:pPr>
              <w:spacing w:line="360" w:lineRule="auto"/>
              <w:rPr>
                <w:rFonts w:ascii="宋体" w:hAnsi="宋体" w:cs="宋体"/>
                <w:sz w:val="20"/>
              </w:rPr>
            </w:pP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260" w:type="dxa"/>
            <w:vAlign w:val="center"/>
          </w:tcPr>
          <w:p>
            <w:pPr>
              <w:spacing w:line="360" w:lineRule="auto"/>
              <w:jc w:val="center"/>
              <w:rPr>
                <w:rFonts w:ascii="宋体" w:hAnsi="宋体" w:cs="宋体"/>
                <w:sz w:val="20"/>
              </w:rPr>
            </w:pPr>
            <w:r>
              <w:rPr>
                <w:rFonts w:hint="eastAsia" w:ascii="宋体" w:hAnsi="宋体" w:cs="宋体"/>
                <w:sz w:val="20"/>
              </w:rPr>
              <w:t>6</w:t>
            </w:r>
          </w:p>
        </w:tc>
        <w:tc>
          <w:tcPr>
            <w:tcW w:w="2160" w:type="dxa"/>
            <w:vAlign w:val="center"/>
          </w:tcPr>
          <w:p>
            <w:pPr>
              <w:spacing w:line="360" w:lineRule="auto"/>
              <w:rPr>
                <w:rFonts w:ascii="宋体" w:hAnsi="宋体" w:cs="宋体"/>
                <w:sz w:val="20"/>
              </w:rPr>
            </w:pPr>
            <w:r>
              <w:rPr>
                <w:rFonts w:hint="eastAsia" w:ascii="宋体" w:hAnsi="宋体" w:cs="宋体"/>
                <w:sz w:val="20"/>
              </w:rPr>
              <w:t>合计</w:t>
            </w:r>
          </w:p>
        </w:tc>
        <w:tc>
          <w:tcPr>
            <w:tcW w:w="216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c>
          <w:tcPr>
            <w:tcW w:w="1800" w:type="dxa"/>
            <w:vAlign w:val="center"/>
          </w:tcPr>
          <w:p>
            <w:pPr>
              <w:spacing w:line="360" w:lineRule="auto"/>
              <w:rPr>
                <w:rFonts w:ascii="宋体" w:hAnsi="宋体" w:cs="宋体"/>
                <w:sz w:val="20"/>
              </w:rPr>
            </w:pPr>
          </w:p>
        </w:tc>
      </w:tr>
    </w:tbl>
    <w:p>
      <w:pPr>
        <w:spacing w:line="500" w:lineRule="exact"/>
        <w:rPr>
          <w:rFonts w:ascii="宋体" w:hAnsi="宋体" w:cs="宋体"/>
          <w:sz w:val="20"/>
        </w:rPr>
      </w:pPr>
    </w:p>
    <w:p>
      <w:pPr>
        <w:spacing w:line="500" w:lineRule="exact"/>
        <w:rPr>
          <w:rFonts w:ascii="宋体" w:hAnsi="宋体" w:cs="宋体"/>
          <w:sz w:val="20"/>
          <w:u w:val="single"/>
        </w:rPr>
      </w:pPr>
      <w:r>
        <w:rPr>
          <w:rFonts w:hint="eastAsia" w:ascii="宋体" w:hAnsi="宋体" w:cs="宋体"/>
          <w:sz w:val="20"/>
        </w:rPr>
        <w:t>申请人：</w:t>
      </w:r>
      <w:r>
        <w:rPr>
          <w:rFonts w:hint="eastAsia" w:ascii="宋体" w:hAnsi="宋体" w:cs="宋体"/>
          <w:b/>
          <w:sz w:val="20"/>
          <w:u w:val="single"/>
        </w:rPr>
        <w:t xml:space="preserve">                     </w:t>
      </w:r>
      <w:r>
        <w:rPr>
          <w:rFonts w:hint="eastAsia" w:ascii="宋体" w:hAnsi="宋体" w:cs="宋体"/>
          <w:sz w:val="20"/>
        </w:rPr>
        <w:t>（公章）   授权代表（签字）：</w:t>
      </w:r>
      <w:r>
        <w:rPr>
          <w:rFonts w:hint="eastAsia" w:ascii="宋体" w:hAnsi="宋体" w:cs="宋体"/>
          <w:sz w:val="20"/>
          <w:u w:val="single"/>
        </w:rPr>
        <w:t xml:space="preserve">                     </w:t>
      </w:r>
    </w:p>
    <w:p>
      <w:pPr>
        <w:spacing w:line="500" w:lineRule="exact"/>
        <w:rPr>
          <w:rFonts w:ascii="宋体" w:hAnsi="宋体" w:cs="宋体"/>
          <w:sz w:val="20"/>
          <w:u w:val="single"/>
        </w:rPr>
      </w:pPr>
    </w:p>
    <w:p>
      <w:pPr>
        <w:wordWrap w:val="0"/>
        <w:spacing w:line="360" w:lineRule="auto"/>
        <w:rPr>
          <w:rFonts w:ascii="宋体" w:hAnsi="宋体" w:cs="宋体"/>
          <w:sz w:val="32"/>
          <w:szCs w:val="32"/>
        </w:rPr>
      </w:pPr>
    </w:p>
    <w:p>
      <w:pPr>
        <w:wordWrap w:val="0"/>
        <w:spacing w:line="360" w:lineRule="auto"/>
        <w:rPr>
          <w:rFonts w:ascii="宋体" w:hAnsi="宋体" w:cs="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pStyle w:val="2"/>
        <w:rPr>
          <w:rFonts w:hAnsi="宋体"/>
          <w:sz w:val="32"/>
          <w:szCs w:val="32"/>
        </w:rPr>
      </w:pPr>
    </w:p>
    <w:p>
      <w:pPr>
        <w:wordWrap w:val="0"/>
        <w:spacing w:line="360" w:lineRule="auto"/>
        <w:rPr>
          <w:rFonts w:ascii="宋体" w:hAnsi="宋体" w:cs="宋体"/>
          <w:sz w:val="32"/>
          <w:szCs w:val="32"/>
        </w:rPr>
      </w:pPr>
      <w:r>
        <w:rPr>
          <w:rFonts w:hint="eastAsia" w:ascii="宋体" w:hAnsi="宋体" w:cs="宋体"/>
          <w:sz w:val="20"/>
        </w:rPr>
        <w:br w:type="page"/>
      </w:r>
      <w:r>
        <w:rPr>
          <w:rFonts w:hint="eastAsia" w:ascii="宋体" w:hAnsi="宋体" w:cs="宋体"/>
          <w:sz w:val="32"/>
          <w:szCs w:val="32"/>
        </w:rPr>
        <w:t>5.</w:t>
      </w:r>
      <w:r>
        <w:rPr>
          <w:rFonts w:ascii="宋体" w:hAnsi="宋体" w:cs="宋体"/>
          <w:sz w:val="32"/>
          <w:szCs w:val="32"/>
        </w:rPr>
        <w:t>4</w:t>
      </w:r>
      <w:r>
        <w:rPr>
          <w:rFonts w:hint="eastAsia" w:ascii="宋体" w:hAnsi="宋体" w:cs="宋体"/>
          <w:sz w:val="32"/>
          <w:szCs w:val="32"/>
        </w:rPr>
        <w:t>、质量管理体系</w:t>
      </w:r>
    </w:p>
    <w:p>
      <w:pPr>
        <w:rPr>
          <w:rFonts w:ascii="宋体" w:hAnsi="宋体" w:cs="宋体"/>
          <w:sz w:val="20"/>
        </w:rPr>
      </w:pPr>
    </w:p>
    <w:p>
      <w:pPr>
        <w:rPr>
          <w:rFonts w:ascii="宋体" w:hAnsi="宋体" w:cs="宋体"/>
          <w:sz w:val="20"/>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0"/>
        <w:gridCol w:w="5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3580" w:type="dxa"/>
            <w:vAlign w:val="center"/>
          </w:tcPr>
          <w:p>
            <w:pPr>
              <w:spacing w:line="360" w:lineRule="auto"/>
              <w:jc w:val="center"/>
              <w:rPr>
                <w:rFonts w:ascii="宋体" w:hAnsi="宋体" w:cs="宋体"/>
                <w:sz w:val="20"/>
              </w:rPr>
            </w:pPr>
            <w:r>
              <w:rPr>
                <w:rFonts w:hint="eastAsia" w:ascii="宋体" w:hAnsi="宋体" w:cs="宋体"/>
                <w:sz w:val="20"/>
              </w:rPr>
              <w:t>强制性资格条件</w:t>
            </w:r>
          </w:p>
        </w:tc>
        <w:tc>
          <w:tcPr>
            <w:tcW w:w="5459" w:type="dxa"/>
            <w:vAlign w:val="center"/>
          </w:tcPr>
          <w:p>
            <w:pPr>
              <w:spacing w:line="360" w:lineRule="auto"/>
              <w:jc w:val="center"/>
              <w:rPr>
                <w:rFonts w:ascii="宋体" w:hAnsi="宋体" w:cs="宋体"/>
                <w:sz w:val="20"/>
              </w:rPr>
            </w:pPr>
            <w:r>
              <w:rPr>
                <w:rFonts w:hint="eastAsia" w:ascii="宋体" w:hAnsi="宋体" w:cs="宋体"/>
                <w:sz w:val="20"/>
              </w:rPr>
              <w:t>申请人满足情况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0" w:hRule="atLeast"/>
        </w:trPr>
        <w:tc>
          <w:tcPr>
            <w:tcW w:w="3580" w:type="dxa"/>
            <w:vAlign w:val="center"/>
          </w:tcPr>
          <w:p>
            <w:pPr>
              <w:spacing w:line="360" w:lineRule="auto"/>
              <w:rPr>
                <w:rFonts w:ascii="宋体" w:hAnsi="宋体" w:cs="宋体"/>
                <w:sz w:val="20"/>
              </w:rPr>
            </w:pPr>
            <w:r>
              <w:rPr>
                <w:rFonts w:hint="eastAsia" w:ascii="宋体" w:hAnsi="宋体" w:cs="宋体"/>
                <w:sz w:val="20"/>
              </w:rPr>
              <w:t>通过ISO9000或类似质量管理体系认证，并且在有效期内通过环境体系认证，并在有效期内</w:t>
            </w:r>
          </w:p>
          <w:p>
            <w:pPr>
              <w:spacing w:line="360" w:lineRule="auto"/>
              <w:rPr>
                <w:rFonts w:ascii="宋体" w:hAnsi="宋体" w:cs="宋体"/>
                <w:sz w:val="20"/>
              </w:rPr>
            </w:pPr>
          </w:p>
        </w:tc>
        <w:tc>
          <w:tcPr>
            <w:tcW w:w="5459" w:type="dxa"/>
            <w:vAlign w:val="center"/>
          </w:tcPr>
          <w:p>
            <w:pPr>
              <w:spacing w:line="360" w:lineRule="auto"/>
              <w:rPr>
                <w:rFonts w:ascii="宋体" w:hAnsi="宋体" w:cs="宋体"/>
                <w:b/>
                <w:sz w:val="20"/>
              </w:rPr>
            </w:pPr>
          </w:p>
        </w:tc>
      </w:tr>
    </w:tbl>
    <w:p>
      <w:pPr>
        <w:spacing w:line="360" w:lineRule="auto"/>
        <w:rPr>
          <w:rFonts w:ascii="宋体" w:hAnsi="宋体" w:cs="宋体"/>
          <w:sz w:val="20"/>
        </w:rPr>
      </w:pPr>
      <w:r>
        <w:rPr>
          <w:rFonts w:hint="eastAsia" w:ascii="宋体" w:hAnsi="宋体" w:cs="宋体"/>
          <w:sz w:val="20"/>
        </w:rPr>
        <w:t>注：申请人须提供有效证明文件。</w:t>
      </w:r>
    </w:p>
    <w:p>
      <w:pPr>
        <w:spacing w:line="360" w:lineRule="auto"/>
        <w:rPr>
          <w:rFonts w:ascii="宋体" w:hAnsi="宋体" w:cs="宋体"/>
          <w:b/>
          <w:sz w:val="20"/>
        </w:rPr>
      </w:pPr>
      <w:r>
        <w:rPr>
          <w:rFonts w:hint="eastAsia" w:ascii="宋体" w:hAnsi="宋体" w:cs="宋体"/>
          <w:b/>
          <w:sz w:val="20"/>
        </w:rPr>
        <w:t>应附通过ISO9000质量管理体系认证证书及相关荣誉证书等材料的复印件</w:t>
      </w:r>
    </w:p>
    <w:p>
      <w:pPr>
        <w:spacing w:line="500" w:lineRule="exact"/>
        <w:rPr>
          <w:rFonts w:ascii="宋体" w:hAnsi="宋体" w:cs="宋体"/>
          <w:sz w:val="20"/>
          <w:u w:val="single"/>
        </w:rPr>
      </w:pPr>
      <w:r>
        <w:rPr>
          <w:rFonts w:hint="eastAsia" w:ascii="宋体" w:hAnsi="宋体" w:cs="宋体"/>
          <w:sz w:val="20"/>
        </w:rPr>
        <w:t>申请人：</w:t>
      </w:r>
      <w:r>
        <w:rPr>
          <w:rFonts w:hint="eastAsia" w:ascii="宋体" w:hAnsi="宋体" w:cs="宋体"/>
          <w:b/>
          <w:sz w:val="20"/>
          <w:u w:val="single"/>
        </w:rPr>
        <w:t xml:space="preserve">                     </w:t>
      </w:r>
      <w:r>
        <w:rPr>
          <w:rFonts w:hint="eastAsia" w:ascii="宋体" w:hAnsi="宋体" w:cs="宋体"/>
          <w:sz w:val="20"/>
        </w:rPr>
        <w:t>（公章）   授权代表（签字）：</w:t>
      </w:r>
      <w:r>
        <w:rPr>
          <w:rFonts w:hint="eastAsia" w:ascii="宋体" w:hAnsi="宋体" w:cs="宋体"/>
          <w:sz w:val="20"/>
          <w:u w:val="single"/>
        </w:rPr>
        <w:t xml:space="preserve">                     </w:t>
      </w:r>
    </w:p>
    <w:p>
      <w:pPr>
        <w:spacing w:line="240" w:lineRule="atLeast"/>
        <w:rPr>
          <w:rFonts w:ascii="宋体" w:hAnsi="宋体" w:cs="宋体"/>
        </w:rPr>
      </w:pPr>
    </w:p>
    <w:p>
      <w:pPr>
        <w:snapToGrid w:val="0"/>
        <w:spacing w:line="360" w:lineRule="auto"/>
        <w:rPr>
          <w:rFonts w:ascii="宋体" w:hAnsi="宋体" w:cs="宋体"/>
          <w:sz w:val="20"/>
        </w:rPr>
      </w:pPr>
    </w:p>
    <w:p>
      <w:pPr>
        <w:spacing w:line="500" w:lineRule="exact"/>
        <w:rPr>
          <w:rFonts w:ascii="宋体" w:hAnsi="宋体" w:cs="宋体"/>
          <w:sz w:val="20"/>
          <w:u w:val="single"/>
        </w:rPr>
      </w:pPr>
    </w:p>
    <w:p>
      <w:pPr>
        <w:spacing w:line="500" w:lineRule="exact"/>
        <w:rPr>
          <w:rFonts w:ascii="宋体" w:hAnsi="宋体" w:cs="宋体"/>
          <w:sz w:val="20"/>
          <w:u w:val="single"/>
        </w:rPr>
      </w:pPr>
    </w:p>
    <w:p>
      <w:pPr>
        <w:wordWrap w:val="0"/>
        <w:spacing w:line="360" w:lineRule="auto"/>
        <w:rPr>
          <w:rFonts w:ascii="宋体" w:hAnsi="宋体" w:cs="宋体"/>
          <w:sz w:val="20"/>
        </w:rPr>
      </w:pPr>
      <w:r>
        <w:rPr>
          <w:rFonts w:ascii="宋体" w:hAnsi="宋体" w:cs="宋体"/>
          <w:sz w:val="20"/>
        </w:rPr>
        <w:t xml:space="preserve"> </w:t>
      </w:r>
    </w:p>
    <w:p>
      <w:pPr>
        <w:wordWrap w:val="0"/>
        <w:spacing w:line="360" w:lineRule="auto"/>
        <w:jc w:val="center"/>
        <w:rPr>
          <w:rFonts w:ascii="宋体" w:hAnsi="宋体" w:cs="宋体"/>
          <w:b/>
          <w:sz w:val="32"/>
          <w:szCs w:val="32"/>
        </w:rPr>
      </w:pPr>
      <w:r>
        <w:rPr>
          <w:rFonts w:hint="eastAsia" w:ascii="宋体" w:hAnsi="宋体" w:cs="宋体"/>
          <w:sz w:val="20"/>
        </w:rPr>
        <w:br w:type="page"/>
      </w:r>
      <w:r>
        <w:rPr>
          <w:rFonts w:hint="eastAsia" w:ascii="宋体" w:hAnsi="宋体" w:cs="宋体"/>
          <w:b/>
          <w:bCs/>
          <w:sz w:val="32"/>
          <w:szCs w:val="32"/>
        </w:rPr>
        <w:t>6.</w:t>
      </w:r>
      <w:r>
        <w:rPr>
          <w:rFonts w:hint="eastAsia" w:ascii="宋体" w:hAnsi="宋体" w:cs="宋体"/>
          <w:b/>
          <w:sz w:val="32"/>
          <w:szCs w:val="32"/>
        </w:rPr>
        <w:t>产品质量执行标准及承诺</w:t>
      </w:r>
    </w:p>
    <w:p>
      <w:pPr>
        <w:spacing w:line="420" w:lineRule="exact"/>
        <w:rPr>
          <w:rFonts w:ascii="宋体" w:hAnsi="宋体" w:cs="宋体"/>
          <w:b/>
          <w:kern w:val="28"/>
          <w:sz w:val="24"/>
        </w:rPr>
      </w:pPr>
    </w:p>
    <w:p>
      <w:pPr>
        <w:spacing w:line="420" w:lineRule="exact"/>
        <w:rPr>
          <w:rFonts w:ascii="宋体" w:hAnsi="宋体" w:cs="宋体"/>
          <w:sz w:val="24"/>
        </w:rPr>
      </w:pPr>
      <w:r>
        <w:rPr>
          <w:rFonts w:hint="eastAsia" w:ascii="宋体" w:hAnsi="宋体" w:cs="宋体"/>
          <w:b/>
          <w:kern w:val="28"/>
          <w:sz w:val="24"/>
        </w:rPr>
        <w:t>致：</w:t>
      </w:r>
      <w:r>
        <w:rPr>
          <w:rFonts w:hint="eastAsia" w:ascii="宋体" w:hAnsi="宋体" w:cs="宋体"/>
          <w:sz w:val="24"/>
        </w:rPr>
        <w:t>广东兴发铝业有限公司</w:t>
      </w:r>
    </w:p>
    <w:p>
      <w:pPr>
        <w:spacing w:line="420" w:lineRule="exact"/>
        <w:ind w:firstLine="240" w:firstLineChars="100"/>
        <w:rPr>
          <w:rFonts w:ascii="宋体" w:hAnsi="宋体" w:cs="宋体"/>
          <w:sz w:val="24"/>
        </w:rPr>
      </w:pPr>
      <w:r>
        <w:rPr>
          <w:rFonts w:hint="eastAsia" w:ascii="宋体" w:hAnsi="宋体" w:cs="宋体"/>
          <w:kern w:val="28"/>
          <w:sz w:val="24"/>
        </w:rPr>
        <w:t>我公司</w:t>
      </w:r>
      <w:r>
        <w:rPr>
          <w:rFonts w:hint="eastAsia" w:ascii="宋体" w:hAnsi="宋体" w:cs="宋体"/>
          <w:sz w:val="24"/>
        </w:rPr>
        <w:t>对</w:t>
      </w:r>
      <w:r>
        <w:rPr>
          <w:rFonts w:hint="eastAsia" w:ascii="宋体" w:hAnsi="宋体" w:cs="宋体"/>
          <w:sz w:val="24"/>
          <w:u w:val="single"/>
        </w:rPr>
        <w:t xml:space="preserve">（项目名称）                    </w:t>
      </w:r>
      <w:r>
        <w:rPr>
          <w:rFonts w:hint="eastAsia" w:ascii="宋体" w:hAnsi="宋体" w:cs="宋体"/>
          <w:sz w:val="24"/>
        </w:rPr>
        <w:t>进行投标，将严格按照标国标</w:t>
      </w:r>
      <w:r>
        <w:rPr>
          <w:rFonts w:hint="eastAsia" w:ascii="宋体" w:hAnsi="宋体" w:cs="宋体"/>
          <w:bCs/>
          <w:kern w:val="28"/>
          <w:sz w:val="24"/>
          <w:u w:val="single"/>
        </w:rPr>
        <w:tab/>
      </w:r>
      <w:r>
        <w:rPr>
          <w:rFonts w:hint="eastAsia" w:ascii="宋体" w:hAnsi="宋体" w:cs="宋体"/>
          <w:bCs/>
          <w:kern w:val="28"/>
          <w:sz w:val="24"/>
          <w:u w:val="single"/>
        </w:rPr>
        <w:tab/>
      </w:r>
      <w:r>
        <w:rPr>
          <w:rFonts w:hint="eastAsia" w:ascii="宋体" w:hAnsi="宋体" w:cs="宋体"/>
          <w:bCs/>
          <w:kern w:val="28"/>
          <w:sz w:val="24"/>
          <w:u w:val="single"/>
        </w:rPr>
        <w:t xml:space="preserve">           </w:t>
      </w:r>
      <w:r>
        <w:rPr>
          <w:rFonts w:hint="eastAsia" w:ascii="宋体" w:hAnsi="宋体" w:cs="宋体"/>
          <w:bCs/>
          <w:kern w:val="28"/>
          <w:sz w:val="24"/>
          <w:u w:val="single"/>
        </w:rPr>
        <w:tab/>
      </w:r>
      <w:r>
        <w:rPr>
          <w:rFonts w:hint="eastAsia" w:ascii="宋体" w:hAnsi="宋体" w:cs="宋体"/>
          <w:sz w:val="24"/>
        </w:rPr>
        <w:t>组织生产和供应，现将材料生产和验收标准承诺如下：</w:t>
      </w:r>
    </w:p>
    <w:p>
      <w:pPr>
        <w:spacing w:line="420" w:lineRule="exact"/>
        <w:rPr>
          <w:rFonts w:ascii="宋体" w:hAnsi="宋体" w:cs="宋体"/>
          <w:sz w:val="24"/>
        </w:rPr>
      </w:pPr>
      <w:r>
        <w:rPr>
          <w:rFonts w:hint="eastAsia" w:ascii="宋体" w:hAnsi="宋体" w:cs="宋体"/>
          <w:sz w:val="24"/>
        </w:rPr>
        <w:t>1、材料壁厚：分别符合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spacing w:line="420" w:lineRule="exact"/>
        <w:rPr>
          <w:rFonts w:ascii="宋体" w:hAnsi="宋体" w:cs="宋体"/>
          <w:sz w:val="24"/>
        </w:rPr>
      </w:pPr>
      <w:r>
        <w:rPr>
          <w:rFonts w:hint="eastAsia" w:ascii="宋体" w:hAnsi="宋体" w:cs="宋体"/>
          <w:sz w:val="24"/>
        </w:rPr>
        <w:t>2、性能指标：分别符合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tabs>
          <w:tab w:val="left" w:pos="4675"/>
        </w:tabs>
        <w:spacing w:line="420" w:lineRule="exact"/>
        <w:rPr>
          <w:rFonts w:ascii="宋体" w:hAnsi="宋体" w:cs="宋体"/>
          <w:sz w:val="24"/>
        </w:rPr>
      </w:pPr>
      <w:r>
        <w:rPr>
          <w:rFonts w:hint="eastAsia" w:ascii="宋体" w:hAnsi="宋体" w:cs="宋体"/>
          <w:sz w:val="24"/>
        </w:rPr>
        <w:t>3、承诺所供应的“</w:t>
      </w:r>
      <w:r>
        <w:rPr>
          <w:rFonts w:hint="eastAsia" w:ascii="宋体" w:hAnsi="宋体" w:cs="宋体"/>
          <w:sz w:val="24"/>
          <w:u w:val="single"/>
        </w:rPr>
        <w:t xml:space="preserve">           </w:t>
      </w:r>
      <w:r>
        <w:rPr>
          <w:rFonts w:hint="eastAsia" w:ascii="宋体" w:hAnsi="宋体" w:cs="宋体"/>
          <w:sz w:val="24"/>
        </w:rPr>
        <w:t>”牌材料为我公司生产并供应的唯一性和真实性；</w:t>
      </w:r>
    </w:p>
    <w:p>
      <w:pPr>
        <w:tabs>
          <w:tab w:val="left" w:pos="4675"/>
        </w:tabs>
        <w:spacing w:line="420" w:lineRule="exact"/>
        <w:rPr>
          <w:rFonts w:ascii="宋体" w:hAnsi="宋体" w:cs="宋体"/>
          <w:sz w:val="24"/>
        </w:rPr>
      </w:pPr>
      <w:r>
        <w:rPr>
          <w:rFonts w:hint="eastAsia" w:ascii="宋体" w:hAnsi="宋体" w:cs="宋体"/>
          <w:sz w:val="24"/>
        </w:rPr>
        <w:t>4、确保“</w:t>
      </w:r>
      <w:r>
        <w:rPr>
          <w:rFonts w:hint="eastAsia" w:ascii="宋体" w:hAnsi="宋体" w:cs="宋体"/>
          <w:sz w:val="24"/>
          <w:u w:val="single"/>
        </w:rPr>
        <w:t xml:space="preserve">              </w:t>
      </w:r>
      <w:r>
        <w:rPr>
          <w:rFonts w:hint="eastAsia" w:ascii="宋体" w:hAnsi="宋体" w:cs="宋体"/>
          <w:sz w:val="24"/>
        </w:rPr>
        <w:t>”材料符合</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u w:val="single"/>
        </w:rPr>
        <w:tab/>
      </w:r>
      <w:r>
        <w:rPr>
          <w:rFonts w:hint="eastAsia" w:ascii="宋体" w:hAnsi="宋体" w:cs="宋体"/>
          <w:sz w:val="24"/>
        </w:rPr>
        <w:t>标准。</w:t>
      </w:r>
    </w:p>
    <w:p>
      <w:pPr>
        <w:tabs>
          <w:tab w:val="left" w:pos="4675"/>
        </w:tabs>
        <w:spacing w:line="420" w:lineRule="exact"/>
        <w:rPr>
          <w:rFonts w:ascii="宋体" w:hAnsi="宋体" w:cs="宋体"/>
          <w:sz w:val="24"/>
        </w:rPr>
      </w:pPr>
      <w:r>
        <w:rPr>
          <w:rFonts w:hint="eastAsia" w:ascii="宋体" w:hAnsi="宋体" w:cs="宋体"/>
          <w:sz w:val="24"/>
        </w:rPr>
        <w:t>5、提供由国家质量监督检验中心出具的检验报告。</w:t>
      </w:r>
    </w:p>
    <w:p>
      <w:pPr>
        <w:tabs>
          <w:tab w:val="left" w:pos="4675"/>
        </w:tabs>
        <w:spacing w:line="420" w:lineRule="exact"/>
        <w:rPr>
          <w:rFonts w:ascii="宋体" w:hAnsi="宋体" w:cs="宋体"/>
          <w:sz w:val="24"/>
        </w:rPr>
      </w:pPr>
      <w:r>
        <w:rPr>
          <w:rFonts w:hint="eastAsia" w:ascii="宋体" w:hAnsi="宋体" w:cs="宋体"/>
          <w:sz w:val="24"/>
        </w:rPr>
        <w:t>6、提供产品质量管理体系认证证书、产品国家免检证书、产品质量认证证书等。</w:t>
      </w:r>
    </w:p>
    <w:p>
      <w:pPr>
        <w:tabs>
          <w:tab w:val="left" w:pos="4675"/>
        </w:tabs>
        <w:spacing w:line="420" w:lineRule="exact"/>
        <w:rPr>
          <w:rFonts w:ascii="宋体" w:hAnsi="宋体" w:cs="宋体"/>
          <w:b/>
          <w:kern w:val="28"/>
          <w:sz w:val="24"/>
          <w:u w:val="single"/>
        </w:rPr>
      </w:pPr>
      <w:r>
        <w:rPr>
          <w:rFonts w:hint="eastAsia" w:ascii="宋体" w:hAnsi="宋体" w:cs="宋体"/>
          <w:sz w:val="24"/>
        </w:rPr>
        <w:t>7、如有漏检的不合格产品，保证在第一时间无条件退换。</w:t>
      </w:r>
    </w:p>
    <w:p>
      <w:pPr>
        <w:snapToGrid w:val="0"/>
        <w:spacing w:line="420" w:lineRule="exact"/>
        <w:ind w:left="360" w:hanging="360" w:hangingChars="150"/>
        <w:rPr>
          <w:rFonts w:ascii="宋体" w:hAnsi="宋体" w:cs="宋体"/>
          <w:b/>
          <w:sz w:val="24"/>
        </w:rPr>
      </w:pPr>
      <w:r>
        <w:rPr>
          <w:rFonts w:hint="eastAsia" w:ascii="宋体" w:hAnsi="宋体" w:cs="宋体"/>
          <w:kern w:val="28"/>
          <w:sz w:val="24"/>
        </w:rPr>
        <w:t>8、如果我方供应的材料质量达不到国家标准及投标文件中的承诺，我方愿意承担所有因产品质量问题给招标方造成的损失</w:t>
      </w:r>
    </w:p>
    <w:p>
      <w:pPr>
        <w:autoSpaceDE w:val="0"/>
        <w:autoSpaceDN w:val="0"/>
        <w:spacing w:line="360" w:lineRule="auto"/>
        <w:ind w:left="360" w:hanging="360" w:hangingChars="150"/>
        <w:jc w:val="left"/>
        <w:rPr>
          <w:rFonts w:ascii="宋体" w:hAnsi="宋体" w:cs="宋体"/>
          <w:sz w:val="24"/>
        </w:rPr>
      </w:pPr>
      <w:r>
        <w:rPr>
          <w:rFonts w:hint="eastAsia" w:ascii="宋体" w:hAnsi="宋体" w:cs="宋体"/>
          <w:sz w:val="24"/>
        </w:rPr>
        <w:t>9、我公司对贵司材料进行投标，将严格按照国标供应和行业标准供应。如果我方供应的材料质量达不到行业标准及投标文件中的承诺，我方愿意承担所有因产品质量问题给招标方造成的损失。</w:t>
      </w:r>
    </w:p>
    <w:p>
      <w:pPr>
        <w:autoSpaceDE w:val="0"/>
        <w:autoSpaceDN w:val="0"/>
        <w:spacing w:line="360" w:lineRule="auto"/>
        <w:ind w:firstLine="300" w:firstLineChars="150"/>
        <w:jc w:val="left"/>
        <w:rPr>
          <w:rFonts w:ascii="宋体" w:hAnsi="宋体" w:cs="宋体"/>
          <w:sz w:val="20"/>
        </w:rPr>
      </w:pPr>
    </w:p>
    <w:p>
      <w:pPr>
        <w:spacing w:line="360" w:lineRule="auto"/>
        <w:rPr>
          <w:rFonts w:ascii="宋体" w:hAnsi="宋体" w:cs="宋体"/>
          <w:sz w:val="20"/>
        </w:rPr>
      </w:pPr>
    </w:p>
    <w:p>
      <w:pPr>
        <w:spacing w:line="360" w:lineRule="auto"/>
        <w:ind w:firstLine="2700" w:firstLineChars="1350"/>
        <w:jc w:val="right"/>
        <w:rPr>
          <w:rFonts w:ascii="宋体" w:hAnsi="宋体" w:cs="宋体"/>
          <w:sz w:val="20"/>
        </w:rPr>
      </w:pPr>
      <w:r>
        <w:rPr>
          <w:rFonts w:hint="eastAsia" w:ascii="宋体" w:hAnsi="宋体" w:cs="宋体"/>
          <w:sz w:val="20"/>
        </w:rPr>
        <w:t>投 标 人：</w:t>
      </w:r>
      <w:r>
        <w:rPr>
          <w:rFonts w:hint="eastAsia" w:ascii="宋体" w:hAnsi="宋体" w:cs="宋体"/>
          <w:sz w:val="20"/>
          <w:u w:val="single"/>
        </w:rPr>
        <w:t xml:space="preserve">                      （盖章）</w:t>
      </w:r>
      <w:r>
        <w:rPr>
          <w:rFonts w:hint="eastAsia" w:ascii="宋体" w:hAnsi="宋体" w:cs="宋体"/>
          <w:sz w:val="20"/>
        </w:rPr>
        <w:t xml:space="preserve">  </w:t>
      </w:r>
    </w:p>
    <w:p>
      <w:pPr>
        <w:wordWrap w:val="0"/>
        <w:spacing w:line="360" w:lineRule="auto"/>
        <w:ind w:firstLine="2700" w:firstLineChars="1350"/>
        <w:jc w:val="right"/>
        <w:rPr>
          <w:rFonts w:ascii="宋体" w:hAnsi="宋体" w:cs="宋体"/>
          <w:sz w:val="20"/>
        </w:rPr>
      </w:pPr>
      <w:r>
        <w:rPr>
          <w:rFonts w:hint="eastAsia" w:ascii="宋体" w:hAnsi="宋体" w:cs="宋体"/>
          <w:sz w:val="20"/>
        </w:rPr>
        <w:t>单位地址：</w:t>
      </w:r>
      <w:r>
        <w:rPr>
          <w:rFonts w:hint="eastAsia" w:ascii="宋体" w:hAnsi="宋体" w:cs="宋体"/>
          <w:sz w:val="20"/>
          <w:u w:val="single"/>
        </w:rPr>
        <w:t xml:space="preserve">                               </w:t>
      </w:r>
    </w:p>
    <w:p>
      <w:pPr>
        <w:jc w:val="center"/>
        <w:rPr>
          <w:rFonts w:ascii="宋体" w:hAnsi="宋体" w:cs="宋体"/>
          <w:b/>
          <w:sz w:val="32"/>
          <w:szCs w:val="32"/>
        </w:rPr>
      </w:pPr>
      <w:r>
        <w:rPr>
          <w:rFonts w:hint="eastAsia" w:ascii="宋体" w:hAnsi="宋体" w:cs="宋体"/>
          <w:sz w:val="20"/>
        </w:rPr>
        <w:t xml:space="preserve">                                                         日    期：</w:t>
      </w:r>
      <w:r>
        <w:rPr>
          <w:rFonts w:hint="eastAsia" w:ascii="宋体" w:hAnsi="宋体" w:cs="宋体"/>
          <w:sz w:val="20"/>
          <w:u w:val="single"/>
        </w:rPr>
        <w:t xml:space="preserve">           </w:t>
      </w:r>
      <w:r>
        <w:rPr>
          <w:rFonts w:hint="eastAsia" w:ascii="宋体" w:hAnsi="宋体" w:cs="宋体"/>
          <w:sz w:val="20"/>
        </w:rPr>
        <w:t xml:space="preserve"> 年</w:t>
      </w:r>
      <w:r>
        <w:rPr>
          <w:rFonts w:hint="eastAsia" w:ascii="宋体" w:hAnsi="宋体" w:cs="宋体"/>
          <w:sz w:val="20"/>
          <w:u w:val="single"/>
        </w:rPr>
        <w:t xml:space="preserve">      </w:t>
      </w:r>
      <w:r>
        <w:rPr>
          <w:rFonts w:hint="eastAsia" w:ascii="宋体" w:hAnsi="宋体" w:cs="宋体"/>
          <w:sz w:val="20"/>
        </w:rPr>
        <w:t xml:space="preserve"> 月</w:t>
      </w:r>
      <w:r>
        <w:rPr>
          <w:rFonts w:hint="eastAsia" w:ascii="宋体" w:hAnsi="宋体" w:cs="宋体"/>
          <w:sz w:val="20"/>
          <w:u w:val="single"/>
        </w:rPr>
        <w:t xml:space="preserve">      </w:t>
      </w:r>
      <w:r>
        <w:rPr>
          <w:rFonts w:hint="eastAsia" w:ascii="宋体" w:hAnsi="宋体" w:cs="宋体"/>
          <w:sz w:val="20"/>
        </w:rPr>
        <w:t>日</w:t>
      </w:r>
      <w:r>
        <w:rPr>
          <w:rFonts w:hint="eastAsia" w:ascii="宋体" w:hAnsi="宋体" w:cs="宋体"/>
          <w:szCs w:val="21"/>
        </w:rPr>
        <w:br w:type="page"/>
      </w:r>
      <w:r>
        <w:rPr>
          <w:rFonts w:hint="eastAsia" w:ascii="宋体" w:hAnsi="宋体" w:cs="宋体"/>
          <w:b/>
          <w:sz w:val="32"/>
          <w:szCs w:val="32"/>
        </w:rPr>
        <w:t>7.关于投标人资格的声明函</w:t>
      </w:r>
    </w:p>
    <w:p>
      <w:pPr>
        <w:snapToGrid w:val="0"/>
        <w:spacing w:line="360" w:lineRule="auto"/>
        <w:ind w:firstLine="555"/>
        <w:jc w:val="center"/>
        <w:rPr>
          <w:rFonts w:ascii="宋体" w:hAnsi="宋体" w:cs="宋体"/>
          <w:sz w:val="24"/>
        </w:rPr>
      </w:pPr>
    </w:p>
    <w:p>
      <w:pPr>
        <w:snapToGrid w:val="0"/>
        <w:spacing w:line="360" w:lineRule="auto"/>
        <w:rPr>
          <w:rFonts w:ascii="宋体" w:hAnsi="宋体" w:cs="宋体"/>
          <w:sz w:val="20"/>
        </w:rPr>
      </w:pPr>
      <w:r>
        <w:rPr>
          <w:rFonts w:hint="eastAsia" w:ascii="宋体" w:hAnsi="宋体" w:cs="宋体"/>
          <w:sz w:val="20"/>
        </w:rPr>
        <w:t>项目名称：</w:t>
      </w:r>
      <w:r>
        <w:rPr>
          <w:rFonts w:hint="eastAsia" w:ascii="宋体" w:hAnsi="宋体" w:cs="宋体"/>
          <w:sz w:val="20"/>
          <w:u w:val="single"/>
        </w:rPr>
        <w:t xml:space="preserve">                            </w:t>
      </w:r>
    </w:p>
    <w:p>
      <w:pPr>
        <w:snapToGrid w:val="0"/>
        <w:spacing w:line="360" w:lineRule="auto"/>
        <w:rPr>
          <w:rFonts w:ascii="宋体" w:hAnsi="宋体" w:cs="宋体"/>
          <w:sz w:val="20"/>
        </w:rPr>
      </w:pPr>
      <w:r>
        <w:rPr>
          <w:rFonts w:hint="eastAsia" w:ascii="宋体" w:hAnsi="宋体" w:cs="宋体"/>
          <w:sz w:val="20"/>
        </w:rPr>
        <w:t>致：</w:t>
      </w:r>
      <w:r>
        <w:rPr>
          <w:rFonts w:hint="eastAsia" w:ascii="宋体" w:hAnsi="宋体" w:cs="宋体"/>
          <w:sz w:val="20"/>
          <w:u w:val="single"/>
        </w:rPr>
        <w:t xml:space="preserve">                                  （招标人名称）</w:t>
      </w:r>
    </w:p>
    <w:p>
      <w:pPr>
        <w:snapToGrid w:val="0"/>
        <w:spacing w:line="360" w:lineRule="auto"/>
        <w:ind w:firstLine="555"/>
        <w:jc w:val="left"/>
        <w:rPr>
          <w:rFonts w:ascii="宋体" w:hAnsi="宋体" w:cs="宋体"/>
          <w:sz w:val="20"/>
        </w:rPr>
      </w:pPr>
      <w:r>
        <w:rPr>
          <w:rFonts w:hint="eastAsia" w:ascii="宋体" w:hAnsi="宋体" w:cs="宋体"/>
          <w:sz w:val="20"/>
        </w:rPr>
        <w:t>我公司(厂)愿意针对</w:t>
      </w:r>
      <w:r>
        <w:rPr>
          <w:rFonts w:hint="eastAsia" w:ascii="宋体" w:hAnsi="宋体" w:cs="宋体"/>
          <w:sz w:val="20"/>
          <w:u w:val="single"/>
        </w:rPr>
        <w:t xml:space="preserve">                      </w:t>
      </w:r>
      <w:r>
        <w:rPr>
          <w:rFonts w:hint="eastAsia" w:ascii="宋体" w:hAnsi="宋体" w:cs="宋体"/>
          <w:sz w:val="20"/>
        </w:rPr>
        <w:t>项目进行投标，投标文件中所有关于投标人资格的文件、证明、陈述均是真实的、准确的。若违背，我公司(厂)承担由此而产生的一切法律后果。</w:t>
      </w: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00" w:firstLineChars="2300"/>
        <w:rPr>
          <w:rFonts w:ascii="宋体" w:hAnsi="宋体" w:cs="宋体"/>
          <w:sz w:val="20"/>
        </w:rPr>
      </w:pPr>
    </w:p>
    <w:p>
      <w:pPr>
        <w:snapToGrid w:val="0"/>
        <w:spacing w:line="360" w:lineRule="auto"/>
        <w:ind w:firstLine="4618" w:firstLineChars="2300"/>
        <w:rPr>
          <w:rFonts w:ascii="宋体" w:hAnsi="宋体" w:cs="宋体"/>
          <w:b/>
          <w:sz w:val="20"/>
        </w:rPr>
      </w:pPr>
    </w:p>
    <w:p>
      <w:pPr>
        <w:snapToGrid w:val="0"/>
        <w:spacing w:line="360" w:lineRule="auto"/>
        <w:ind w:firstLine="4618" w:firstLineChars="2300"/>
        <w:rPr>
          <w:rFonts w:ascii="宋体" w:hAnsi="宋体" w:cs="宋体"/>
          <w:b/>
          <w:sz w:val="20"/>
        </w:rPr>
      </w:pPr>
    </w:p>
    <w:p>
      <w:pPr>
        <w:snapToGrid w:val="0"/>
        <w:spacing w:line="360" w:lineRule="auto"/>
        <w:ind w:firstLine="4600" w:firstLineChars="2300"/>
        <w:rPr>
          <w:rFonts w:ascii="宋体" w:hAnsi="宋体" w:cs="宋体"/>
          <w:sz w:val="20"/>
        </w:rPr>
      </w:pPr>
    </w:p>
    <w:p>
      <w:pPr>
        <w:snapToGrid w:val="0"/>
        <w:spacing w:line="360" w:lineRule="auto"/>
        <w:ind w:firstLine="5700" w:firstLineChars="2850"/>
        <w:rPr>
          <w:rFonts w:ascii="宋体" w:hAnsi="宋体" w:cs="宋体"/>
          <w:sz w:val="20"/>
        </w:rPr>
      </w:pPr>
      <w:r>
        <w:rPr>
          <w:rFonts w:hint="eastAsia" w:ascii="宋体" w:hAnsi="宋体" w:cs="宋体"/>
          <w:sz w:val="20"/>
        </w:rPr>
        <w:t>投标人：</w:t>
      </w:r>
      <w:r>
        <w:rPr>
          <w:rFonts w:hint="eastAsia" w:ascii="宋体" w:hAnsi="宋体" w:cs="宋体"/>
          <w:sz w:val="20"/>
          <w:u w:val="single"/>
        </w:rPr>
        <w:t xml:space="preserve">         （公章）</w:t>
      </w:r>
    </w:p>
    <w:p>
      <w:pPr>
        <w:snapToGrid w:val="0"/>
        <w:spacing w:line="360" w:lineRule="auto"/>
        <w:ind w:firstLine="5700" w:firstLineChars="2850"/>
        <w:rPr>
          <w:rFonts w:ascii="宋体" w:hAnsi="宋体" w:cs="宋体"/>
          <w:sz w:val="20"/>
        </w:rPr>
      </w:pPr>
      <w:r>
        <w:rPr>
          <w:rFonts w:hint="eastAsia" w:ascii="宋体" w:hAnsi="宋体" w:cs="宋体"/>
          <w:sz w:val="20"/>
        </w:rPr>
        <w:t xml:space="preserve">投标人代表：（签字） </w:t>
      </w:r>
    </w:p>
    <w:p>
      <w:pPr>
        <w:spacing w:line="360" w:lineRule="auto"/>
        <w:ind w:firstLine="5700" w:firstLineChars="2850"/>
        <w:rPr>
          <w:rFonts w:ascii="宋体" w:hAnsi="宋体" w:cs="宋体"/>
          <w:sz w:val="20"/>
        </w:rPr>
      </w:pPr>
      <w:r>
        <w:rPr>
          <w:rFonts w:hint="eastAsia" w:ascii="宋体" w:hAnsi="宋体" w:cs="宋体"/>
          <w:sz w:val="20"/>
        </w:rPr>
        <w:t>日期：     年   月   日</w:t>
      </w:r>
    </w:p>
    <w:p>
      <w:pPr>
        <w:jc w:val="center"/>
        <w:rPr>
          <w:rFonts w:ascii="宋体" w:hAnsi="宋体" w:cs="宋体"/>
          <w:b/>
          <w:sz w:val="32"/>
          <w:szCs w:val="32"/>
        </w:rPr>
      </w:pPr>
      <w:r>
        <w:rPr>
          <w:rFonts w:hint="eastAsia" w:ascii="宋体" w:hAnsi="宋体" w:cs="宋体"/>
          <w:szCs w:val="21"/>
        </w:rPr>
        <w:br w:type="page"/>
      </w:r>
      <w:r>
        <w:rPr>
          <w:rFonts w:hint="eastAsia" w:ascii="宋体" w:hAnsi="宋体" w:cs="宋体"/>
          <w:b/>
          <w:bCs/>
          <w:sz w:val="32"/>
          <w:szCs w:val="32"/>
        </w:rPr>
        <w:t>8.招投标廉政协议书</w:t>
      </w:r>
    </w:p>
    <w:p>
      <w:pPr>
        <w:ind w:firstLine="400" w:firstLineChars="200"/>
        <w:rPr>
          <w:rFonts w:ascii="宋体" w:hAnsi="宋体" w:cs="宋体"/>
          <w:sz w:val="20"/>
        </w:rPr>
      </w:pPr>
      <w:r>
        <w:rPr>
          <w:rFonts w:hint="eastAsia" w:ascii="宋体" w:hAnsi="宋体" w:cs="宋体"/>
          <w:sz w:val="20"/>
        </w:rPr>
        <w:t>为共同维护商业活动公平竞争秩序，保证双方在业务交往活动中做到诚信、廉洁、高效和共赢，特订本协议如下：</w:t>
      </w:r>
    </w:p>
    <w:p>
      <w:pPr>
        <w:ind w:firstLine="400" w:firstLineChars="200"/>
        <w:rPr>
          <w:rFonts w:ascii="宋体" w:hAnsi="宋体" w:cs="宋体"/>
          <w:sz w:val="20"/>
        </w:rPr>
      </w:pPr>
      <w:r>
        <w:rPr>
          <w:rFonts w:hint="eastAsia" w:ascii="宋体" w:hAnsi="宋体" w:cs="宋体"/>
          <w:sz w:val="20"/>
        </w:rPr>
        <w:t>1.双方在合作过程中，自觉遵守国家法律、法规，按照《中华人民共和国反不正当竞争法》、《中华人民共和国招标投标法》、《关于禁止商业贿赂行为的暂行规定》以及其他相关规定开展商业交易活动。</w:t>
      </w:r>
    </w:p>
    <w:p>
      <w:pPr>
        <w:ind w:firstLine="400" w:firstLineChars="200"/>
        <w:rPr>
          <w:rFonts w:ascii="宋体" w:hAnsi="宋体" w:cs="宋体"/>
          <w:sz w:val="20"/>
        </w:rPr>
      </w:pPr>
      <w:r>
        <w:rPr>
          <w:rFonts w:hint="eastAsia" w:ascii="宋体" w:hAnsi="宋体" w:cs="宋体"/>
          <w:sz w:val="20"/>
        </w:rPr>
        <w:t>2.在邀标资格确定、投标、开标与评标过程中，做到公平、公正、公开，禁止暗箱操作。甲方监察部门或其授权人员按照规定对招投标项目实施监督，对于乙方有关招投标的投诉和举报，监察部门认真调查，秉公处理，及时回复。</w:t>
      </w:r>
    </w:p>
    <w:p>
      <w:pPr>
        <w:ind w:firstLine="400" w:firstLineChars="200"/>
        <w:rPr>
          <w:rFonts w:ascii="宋体" w:hAnsi="宋体" w:cs="宋体"/>
          <w:sz w:val="20"/>
        </w:rPr>
      </w:pPr>
      <w:r>
        <w:rPr>
          <w:rFonts w:hint="eastAsia" w:ascii="宋体" w:hAnsi="宋体" w:cs="宋体"/>
          <w:sz w:val="20"/>
        </w:rPr>
        <w:t>3.双方相关工作人员及其亲属不得收受对方馈送的现金、贵重物品、有价证券等，不得要求或接受对方为其住房建修、婚嫁以及出国等提供资助，不得介绍亲友从事与双方合作有关的业务活动，不得收受回扣，不得参加影响公正执行公务的高档娱乐、宴请、健身或旅游活动，不得报销应由个人支付的费用。</w:t>
      </w:r>
    </w:p>
    <w:p>
      <w:pPr>
        <w:ind w:firstLine="400" w:firstLineChars="200"/>
        <w:rPr>
          <w:rFonts w:ascii="宋体" w:hAnsi="宋体" w:cs="宋体"/>
          <w:sz w:val="20"/>
        </w:rPr>
      </w:pPr>
      <w:r>
        <w:rPr>
          <w:rFonts w:hint="eastAsia" w:ascii="宋体" w:hAnsi="宋体" w:cs="宋体"/>
          <w:sz w:val="20"/>
        </w:rPr>
        <w:t>4.双方相关工作人员不得为谋取私利私下就材料供应、数量变化、材料质量问题处理等进行私下商谈或者达成默契。</w:t>
      </w:r>
    </w:p>
    <w:p>
      <w:pPr>
        <w:ind w:firstLine="400" w:firstLineChars="200"/>
        <w:rPr>
          <w:rFonts w:ascii="宋体" w:hAnsi="宋体" w:cs="宋体"/>
          <w:sz w:val="20"/>
        </w:rPr>
      </w:pPr>
      <w:r>
        <w:rPr>
          <w:rFonts w:hint="eastAsia" w:ascii="宋体" w:hAnsi="宋体" w:cs="宋体"/>
          <w:sz w:val="20"/>
        </w:rPr>
        <w:t>5.不做违反商业道德、扰乱正常竞争秩序，有损双方形象的事情，不围标、串标，不泄露双方机密，不排挤其他经营者的公平竞争，不在预决算、招投标和商务报价中弄虚作假或恶意高估冒算。</w:t>
      </w:r>
    </w:p>
    <w:p>
      <w:pPr>
        <w:ind w:firstLine="400" w:firstLineChars="200"/>
        <w:rPr>
          <w:rFonts w:ascii="宋体" w:hAnsi="宋体" w:cs="宋体"/>
          <w:sz w:val="20"/>
        </w:rPr>
      </w:pPr>
      <w:r>
        <w:rPr>
          <w:rFonts w:hint="eastAsia" w:ascii="宋体" w:hAnsi="宋体" w:cs="宋体"/>
          <w:sz w:val="20"/>
        </w:rPr>
        <w:t>7.若有违反以上条款或违反其他商业道德与市场规则的情况，一经核实，视情节轻重，终止双方的合作。</w:t>
      </w:r>
    </w:p>
    <w:p>
      <w:pPr>
        <w:ind w:firstLine="400" w:firstLineChars="200"/>
        <w:rPr>
          <w:rFonts w:ascii="宋体" w:hAnsi="宋体" w:cs="宋体"/>
          <w:sz w:val="20"/>
        </w:rPr>
      </w:pPr>
      <w:r>
        <w:rPr>
          <w:rFonts w:hint="eastAsia" w:ascii="宋体" w:hAnsi="宋体" w:cs="宋体"/>
          <w:sz w:val="20"/>
        </w:rPr>
        <w:t>8.发现对方人员有受贿或者索贿行为以及徇私舞弊、滥用职权、严重渎职等情况时，有义务向对方监察或相关部门举报。</w:t>
      </w:r>
    </w:p>
    <w:p>
      <w:pPr>
        <w:ind w:firstLine="400" w:firstLineChars="200"/>
        <w:rPr>
          <w:rFonts w:ascii="宋体" w:hAnsi="宋体" w:cs="宋体"/>
          <w:sz w:val="20"/>
        </w:rPr>
      </w:pPr>
      <w:r>
        <w:rPr>
          <w:rFonts w:hint="eastAsia" w:ascii="宋体" w:hAnsi="宋体" w:cs="宋体"/>
          <w:sz w:val="20"/>
        </w:rPr>
        <w:t>9.本协议份数应不少于主合同正式份数，视同主合同的附件进行管理，主合同正本均需附本协议并妥善保管。</w:t>
      </w:r>
    </w:p>
    <w:p>
      <w:pPr>
        <w:ind w:firstLine="400" w:firstLineChars="200"/>
        <w:rPr>
          <w:rFonts w:ascii="宋体" w:hAnsi="宋体" w:cs="宋体"/>
          <w:sz w:val="20"/>
        </w:rPr>
      </w:pPr>
      <w:r>
        <w:rPr>
          <w:rFonts w:hint="eastAsia" w:ascii="宋体" w:hAnsi="宋体" w:cs="宋体"/>
          <w:sz w:val="20"/>
        </w:rPr>
        <w:t>10.本协议有效期与主合同或交易事项期限相同。</w:t>
      </w:r>
    </w:p>
    <w:p>
      <w:pPr>
        <w:ind w:firstLine="400" w:firstLineChars="200"/>
        <w:rPr>
          <w:rFonts w:ascii="宋体" w:hAnsi="宋体" w:cs="宋体"/>
          <w:sz w:val="20"/>
        </w:rPr>
      </w:pPr>
      <w:r>
        <w:rPr>
          <w:rFonts w:hint="eastAsia" w:ascii="宋体" w:hAnsi="宋体" w:cs="宋体"/>
          <w:sz w:val="20"/>
        </w:rPr>
        <w:t>11、如有违法行为，列入兴发供应商黑名单，永不录用。</w:t>
      </w:r>
    </w:p>
    <w:p>
      <w:pPr>
        <w:ind w:firstLine="400" w:firstLineChars="200"/>
        <w:rPr>
          <w:rFonts w:ascii="宋体" w:hAnsi="宋体" w:cs="宋体"/>
          <w:sz w:val="20"/>
        </w:rPr>
      </w:pPr>
    </w:p>
    <w:p>
      <w:pPr>
        <w:ind w:firstLine="400" w:firstLineChars="200"/>
        <w:rPr>
          <w:rFonts w:ascii="宋体" w:hAnsi="宋体" w:cs="宋体"/>
          <w:sz w:val="20"/>
        </w:rPr>
      </w:pPr>
    </w:p>
    <w:p>
      <w:pPr>
        <w:ind w:firstLine="400" w:firstLineChars="200"/>
        <w:rPr>
          <w:rFonts w:ascii="宋体" w:hAnsi="宋体" w:cs="宋体"/>
          <w:sz w:val="20"/>
        </w:rPr>
      </w:pPr>
    </w:p>
    <w:p>
      <w:pPr>
        <w:ind w:firstLine="400" w:firstLineChars="200"/>
        <w:rPr>
          <w:rFonts w:ascii="宋体" w:hAnsi="宋体" w:cs="宋体"/>
          <w:sz w:val="20"/>
        </w:rPr>
      </w:pPr>
    </w:p>
    <w:p>
      <w:pPr>
        <w:spacing w:line="360" w:lineRule="auto"/>
        <w:jc w:val="left"/>
        <w:rPr>
          <w:rFonts w:ascii="宋体" w:hAnsi="宋体" w:cs="宋体"/>
          <w:szCs w:val="21"/>
        </w:rPr>
      </w:pPr>
      <w:r>
        <w:rPr>
          <w:rFonts w:hint="eastAsia" w:ascii="宋体" w:hAnsi="宋体" w:cs="宋体"/>
          <w:szCs w:val="21"/>
        </w:rPr>
        <w:t>甲      方：                               乙      方：</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法定代表人：                               法定代表人：</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签订日期：              年      月     日</w:t>
      </w: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p>
      <w:pPr>
        <w:pStyle w:val="2"/>
        <w:rPr>
          <w:rFonts w:hAnsi="宋体"/>
          <w:szCs w:val="21"/>
        </w:rPr>
      </w:pPr>
    </w:p>
    <w:bookmarkEnd w:id="203"/>
    <w:bookmarkEnd w:id="204"/>
    <w:p>
      <w:pPr>
        <w:pStyle w:val="2"/>
        <w:rPr>
          <w:rFonts w:hAnsi="宋体"/>
          <w:szCs w:val="21"/>
        </w:rPr>
      </w:pPr>
    </w:p>
    <w:sectPr>
      <w:footerReference r:id="rId4" w:type="default"/>
      <w:pgSz w:w="11906" w:h="16838"/>
      <w:pgMar w:top="1361" w:right="1305" w:bottom="1361" w:left="1361" w:header="851" w:footer="992" w:gutter="0"/>
      <w:pgBorders>
        <w:top w:val="single" w:color="FFFFFF" w:themeColor="background1" w:sz="4" w:space="1"/>
        <w:left w:val="single" w:color="FFFFFF" w:themeColor="background1" w:sz="4" w:space="4"/>
        <w:bottom w:val="single" w:color="FFFFFF" w:themeColor="background1" w:sz="4" w:space="1"/>
        <w:right w:val="single" w:color="FFFFFF" w:themeColor="background1" w:sz="4" w:space="4"/>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长城仿宋">
    <w:altName w:val="黑体"/>
    <w:panose1 w:val="00000000000000000000"/>
    <w:charset w:val="86"/>
    <w:family w:val="auto"/>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10" w:usb3="00000000" w:csb0="00040000" w:csb1="00000000"/>
  </w:font>
  <w:font w:name="仿宋体">
    <w:altName w:val="宋体"/>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3175" b="0"/>
              <wp:wrapNone/>
              <wp:docPr id="1" name="文本框 4"/>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4"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KjkC93sAQAAswMAAA4AAABkcnMvZTJvRG9jLnhtbK1TwY7TMBC9I/EP&#10;lu80aVlgiZqull0VIS2w0sIHuI6TWMQea+w2KR8Af8CJC3e+q9+xY6cpC9wQF2syM35+8+ZleTGY&#10;ju0Ueg225PNZzpmyEiptm5J//LB+cs6ZD8JWogOrSr5Xnl+sHj9a9q5QC2ihqxQyArG+6F3J2xBc&#10;kWVetsoIPwOnLBVrQCMCfWKTVSh6Qjddtsjz51kPWDkEqbyn7PVY5KuEX9dKhvd17VVgXcmJW0gn&#10;pnMTz2y1FEWDwrVaHmmIf2BhhLb06AnqWgTBtqj/gjJaIniow0yCyaCutVRpBppmnv8xzV0rnEqz&#10;kDjenWTy/w9WvtvdItMV7Y4zKwyt6PDt6+H7z8OPL+wsytM7X1DXnaO+MLyCIbbGUb27AfnJMwtX&#10;rbCNukSEvlWiInrzeDN7cHXE8RFk07+Fit4R2wAJaKjRREBSgxE6rWl/Wo0aApOUfHZ+tqCCpMr8&#10;6csXedpcJorprkMfXiswLAYlR1p8wha7Gx8iF1FMLfEpC2vddWn5nf0tQY0xk7hHuiPxMGyGoxYb&#10;qPY0BcLoJfI+BS3gZ8568lHJLRmds+6NJR2i5aYAp2AzBcJKuljywNkYXoXRmluHumkJd1L6krRa&#10;6zRIFHXkcGRJzkjzHV0crffwO3X9+tdW9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tbuXfQAAAA&#10;AgEAAA8AAAAAAAAAAQAgAAAAIgAAAGRycy9kb3ducmV2LnhtbFBLAQIUABQAAAAIAIdO4kCo5Avd&#10;7AEAALMDAAAOAAAAAAAAAAEAIAAAAB8BAABkcnMvZTJvRG9jLnhtbFBLBQYAAAAABgAGAFkBAAB9&#10;BQAAAAA=&#10;">
              <v:fill on="f" focussize="0,0"/>
              <v:stroke on="f"/>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t>28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35BC1"/>
    <w:multiLevelType w:val="multilevel"/>
    <w:tmpl w:val="94135BC1"/>
    <w:lvl w:ilvl="0" w:tentative="0">
      <w:start w:val="1"/>
      <w:numFmt w:val="decimal"/>
      <w:lvlText w:val="第%1章"/>
      <w:lvlJc w:val="left"/>
      <w:pPr>
        <w:ind w:left="420" w:hanging="420"/>
      </w:pPr>
      <w:rPr>
        <w:rFonts w:hint="default"/>
        <w:sz w:val="30"/>
        <w:szCs w:val="30"/>
      </w:rPr>
    </w:lvl>
    <w:lvl w:ilvl="1" w:tentative="0">
      <w:start w:val="1"/>
      <w:numFmt w:val="decimal"/>
      <w:lvlText w:val="%1.%2."/>
      <w:lvlJc w:val="left"/>
      <w:pPr>
        <w:tabs>
          <w:tab w:val="left" w:pos="851"/>
        </w:tabs>
        <w:ind w:left="851" w:hanging="567"/>
      </w:pPr>
      <w:rPr>
        <w:rFonts w:hint="default" w:ascii="Times New Roman" w:hAnsi="Times New Roman" w:cs="Times New Roman"/>
      </w:rPr>
    </w:lvl>
    <w:lvl w:ilvl="2" w:tentative="0">
      <w:start w:val="1"/>
      <w:numFmt w:val="decimal"/>
      <w:pStyle w:val="5"/>
      <w:lvlText w:val="%1.%2.%3."/>
      <w:lvlJc w:val="left"/>
      <w:pPr>
        <w:tabs>
          <w:tab w:val="left" w:pos="1844"/>
        </w:tabs>
        <w:ind w:left="1844" w:hanging="709"/>
      </w:pPr>
      <w:rPr>
        <w:rFonts w:hint="default" w:ascii="Times New Roman" w:hAnsi="Times New Roman" w:cs="Times New Roman"/>
      </w:rPr>
    </w:lvl>
    <w:lvl w:ilvl="3" w:tentative="0">
      <w:start w:val="1"/>
      <w:numFmt w:val="decimal"/>
      <w:pStyle w:val="6"/>
      <w:lvlText w:val="%1.%2.%3.%4."/>
      <w:lvlJc w:val="left"/>
      <w:pPr>
        <w:tabs>
          <w:tab w:val="left" w:pos="851"/>
        </w:tabs>
        <w:ind w:left="851" w:hanging="851"/>
      </w:pPr>
      <w:rPr>
        <w:rFonts w:hint="default" w:ascii="Times New Roman" w:hAnsi="Times New Roman" w:cs="Times New Roman"/>
      </w:rPr>
    </w:lvl>
    <w:lvl w:ilvl="4" w:tentative="0">
      <w:start w:val="1"/>
      <w:numFmt w:val="decimal"/>
      <w:lvlText w:val="%1.%2.%3.%4.%5."/>
      <w:lvlJc w:val="left"/>
      <w:pPr>
        <w:tabs>
          <w:tab w:val="left" w:pos="992"/>
        </w:tabs>
        <w:ind w:left="992" w:hanging="992"/>
      </w:pPr>
      <w:rPr>
        <w:rFonts w:hint="default" w:ascii="Times New Roman" w:hAnsi="Times New Roman" w:cs="Times New Roman"/>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A113FE47"/>
    <w:multiLevelType w:val="singleLevel"/>
    <w:tmpl w:val="A113FE47"/>
    <w:lvl w:ilvl="0" w:tentative="0">
      <w:start w:val="1"/>
      <w:numFmt w:val="decimal"/>
      <w:lvlText w:val="%1."/>
      <w:lvlJc w:val="left"/>
      <w:pPr>
        <w:ind w:left="425" w:hanging="425"/>
      </w:pPr>
      <w:rPr>
        <w:rFonts w:hint="default"/>
      </w:rPr>
    </w:lvl>
  </w:abstractNum>
  <w:abstractNum w:abstractNumId="2">
    <w:nsid w:val="A5AE2074"/>
    <w:multiLevelType w:val="singleLevel"/>
    <w:tmpl w:val="A5AE2074"/>
    <w:lvl w:ilvl="0" w:tentative="0">
      <w:start w:val="2"/>
      <w:numFmt w:val="chineseCounting"/>
      <w:suff w:val="nothing"/>
      <w:lvlText w:val="第%1章、"/>
      <w:lvlJc w:val="left"/>
      <w:rPr>
        <w:rFonts w:hint="eastAsia"/>
      </w:rPr>
    </w:lvl>
  </w:abstractNum>
  <w:abstractNum w:abstractNumId="3">
    <w:nsid w:val="F2F9F699"/>
    <w:multiLevelType w:val="singleLevel"/>
    <w:tmpl w:val="F2F9F699"/>
    <w:lvl w:ilvl="0" w:tentative="0">
      <w:start w:val="1"/>
      <w:numFmt w:val="decimal"/>
      <w:lvlText w:val="%1."/>
      <w:lvlJc w:val="left"/>
      <w:pPr>
        <w:tabs>
          <w:tab w:val="left" w:pos="312"/>
        </w:tabs>
      </w:pPr>
    </w:lvl>
  </w:abstractNum>
  <w:abstractNum w:abstractNumId="4">
    <w:nsid w:val="002704B5"/>
    <w:multiLevelType w:val="multilevel"/>
    <w:tmpl w:val="002704B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CBC364A"/>
    <w:multiLevelType w:val="multilevel"/>
    <w:tmpl w:val="0CBC364A"/>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6">
    <w:nsid w:val="0EDB2900"/>
    <w:multiLevelType w:val="multilevel"/>
    <w:tmpl w:val="0EDB2900"/>
    <w:lvl w:ilvl="0" w:tentative="0">
      <w:start w:val="1"/>
      <w:numFmt w:val="bullet"/>
      <w:pStyle w:val="71"/>
      <w:lvlText w:val="−"/>
      <w:lvlJc w:val="left"/>
      <w:pPr>
        <w:tabs>
          <w:tab w:val="left" w:pos="2551"/>
        </w:tabs>
        <w:ind w:left="2551" w:hanging="425"/>
      </w:pPr>
      <w:rPr>
        <w:rFonts w:hint="default" w:ascii="Times New Roman" w:hAnsi="Times New Roman" w:cs="Times New Roman"/>
        <w:sz w:val="16"/>
        <w:szCs w:val="16"/>
      </w:rPr>
    </w:lvl>
    <w:lvl w:ilvl="1" w:tentative="0">
      <w:start w:val="1"/>
      <w:numFmt w:val="ganada"/>
      <w:pStyle w:val="72"/>
      <w:lvlText w:val=""/>
      <w:lvlJc w:val="left"/>
      <w:pPr>
        <w:tabs>
          <w:tab w:val="left" w:pos="2976"/>
        </w:tabs>
        <w:ind w:left="2976" w:hanging="425"/>
      </w:pPr>
      <w:rPr>
        <w:rFonts w:hint="default" w:ascii="Wingdings" w:hAnsi="Wingdings" w:cs="Wingdings"/>
        <w:sz w:val="16"/>
        <w:szCs w:val="16"/>
      </w:rPr>
    </w:lvl>
    <w:lvl w:ilvl="2" w:tentative="0">
      <w:start w:val="1"/>
      <w:numFmt w:val="bullet"/>
      <w:pStyle w:val="73"/>
      <w:lvlText w:val="□"/>
      <w:lvlJc w:val="left"/>
      <w:pPr>
        <w:tabs>
          <w:tab w:val="left" w:pos="3401"/>
        </w:tabs>
        <w:ind w:left="3401" w:hanging="425"/>
      </w:pPr>
      <w:rPr>
        <w:rFonts w:hint="default" w:ascii="Wingdings" w:hAnsi="Wingdings" w:cs="Wingdings"/>
        <w:sz w:val="16"/>
        <w:szCs w:val="16"/>
      </w:rPr>
    </w:lvl>
    <w:lvl w:ilvl="3" w:tentative="0">
      <w:start w:val="1"/>
      <w:numFmt w:val="bullet"/>
      <w:lvlText w:val=""/>
      <w:lvlJc w:val="left"/>
      <w:pPr>
        <w:tabs>
          <w:tab w:val="left" w:pos="1680"/>
        </w:tabs>
        <w:ind w:left="1680" w:hanging="420"/>
      </w:pPr>
      <w:rPr>
        <w:rFonts w:hint="default" w:ascii="Wingdings" w:hAnsi="Wingdings" w:cs="Wingdings"/>
      </w:rPr>
    </w:lvl>
    <w:lvl w:ilvl="4" w:tentative="0">
      <w:start w:val="1"/>
      <w:numFmt w:val="bullet"/>
      <w:lvlText w:val=""/>
      <w:lvlJc w:val="left"/>
      <w:pPr>
        <w:tabs>
          <w:tab w:val="left" w:pos="2100"/>
        </w:tabs>
        <w:ind w:left="2100" w:hanging="420"/>
      </w:pPr>
      <w:rPr>
        <w:rFonts w:hint="default" w:ascii="Wingdings" w:hAnsi="Wingdings" w:cs="Wingdings"/>
      </w:rPr>
    </w:lvl>
    <w:lvl w:ilvl="5" w:tentative="0">
      <w:start w:val="1"/>
      <w:numFmt w:val="bullet"/>
      <w:lvlText w:val=""/>
      <w:lvlJc w:val="left"/>
      <w:pPr>
        <w:tabs>
          <w:tab w:val="left" w:pos="2520"/>
        </w:tabs>
        <w:ind w:left="2520" w:hanging="420"/>
      </w:pPr>
      <w:rPr>
        <w:rFonts w:hint="default" w:ascii="Wingdings" w:hAnsi="Wingdings" w:cs="Wingdings"/>
      </w:rPr>
    </w:lvl>
    <w:lvl w:ilvl="6" w:tentative="0">
      <w:start w:val="1"/>
      <w:numFmt w:val="bullet"/>
      <w:lvlText w:val=""/>
      <w:lvlJc w:val="left"/>
      <w:pPr>
        <w:tabs>
          <w:tab w:val="left" w:pos="2940"/>
        </w:tabs>
        <w:ind w:left="2940" w:hanging="420"/>
      </w:pPr>
      <w:rPr>
        <w:rFonts w:hint="default" w:ascii="Wingdings" w:hAnsi="Wingdings" w:cs="Wingdings"/>
      </w:rPr>
    </w:lvl>
    <w:lvl w:ilvl="7" w:tentative="0">
      <w:start w:val="1"/>
      <w:numFmt w:val="bullet"/>
      <w:lvlText w:val=""/>
      <w:lvlJc w:val="left"/>
      <w:pPr>
        <w:tabs>
          <w:tab w:val="left" w:pos="3360"/>
        </w:tabs>
        <w:ind w:left="3360" w:hanging="420"/>
      </w:pPr>
      <w:rPr>
        <w:rFonts w:hint="default" w:ascii="Wingdings" w:hAnsi="Wingdings" w:cs="Wingdings"/>
      </w:rPr>
    </w:lvl>
    <w:lvl w:ilvl="8" w:tentative="0">
      <w:start w:val="1"/>
      <w:numFmt w:val="bullet"/>
      <w:lvlText w:val=""/>
      <w:lvlJc w:val="left"/>
      <w:pPr>
        <w:tabs>
          <w:tab w:val="left" w:pos="3780"/>
        </w:tabs>
        <w:ind w:left="3780" w:hanging="420"/>
      </w:pPr>
      <w:rPr>
        <w:rFonts w:hint="default" w:ascii="Wingdings" w:hAnsi="Wingdings" w:cs="Wingdings"/>
      </w:rPr>
    </w:lvl>
  </w:abstractNum>
  <w:abstractNum w:abstractNumId="7">
    <w:nsid w:val="109713E5"/>
    <w:multiLevelType w:val="multilevel"/>
    <w:tmpl w:val="109713E5"/>
    <w:lvl w:ilvl="0" w:tentative="0">
      <w:start w:val="1"/>
      <w:numFmt w:val="japaneseCounting"/>
      <w:lvlText w:val="（%1）"/>
      <w:lvlJc w:val="left"/>
      <w:pPr>
        <w:ind w:left="720" w:hanging="720"/>
      </w:pPr>
      <w:rPr>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1D37C64"/>
    <w:multiLevelType w:val="multilevel"/>
    <w:tmpl w:val="11D37C64"/>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982DEB"/>
    <w:multiLevelType w:val="multilevel"/>
    <w:tmpl w:val="18982DEB"/>
    <w:lvl w:ilvl="0" w:tentative="0">
      <w:start w:val="1"/>
      <w:numFmt w:val="japaneseCounting"/>
      <w:lvlText w:val="第%1章"/>
      <w:lvlJc w:val="left"/>
      <w:pPr>
        <w:ind w:left="1054" w:hanging="105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9190ADB"/>
    <w:multiLevelType w:val="multilevel"/>
    <w:tmpl w:val="19190ADB"/>
    <w:lvl w:ilvl="0" w:tentative="0">
      <w:start w:val="1"/>
      <w:numFmt w:val="decimal"/>
      <w:suff w:val="space"/>
      <w:lvlText w:val="%1、"/>
      <w:lvlJc w:val="left"/>
      <w:pPr>
        <w:ind w:left="340" w:hanging="340"/>
      </w:pPr>
      <w:rPr>
        <w:rFonts w:hint="eastAsia" w:ascii="宋体" w:hAnsi="宋体" w:eastAsia="宋体"/>
        <w:b w:val="0"/>
      </w:rPr>
    </w:lvl>
    <w:lvl w:ilvl="1" w:tentative="0">
      <w:start w:val="1"/>
      <w:numFmt w:val="decimal"/>
      <w:lvlText w:val="%2）"/>
      <w:lvlJc w:val="left"/>
      <w:pPr>
        <w:ind w:left="1898" w:hanging="360"/>
      </w:pPr>
    </w:lvl>
    <w:lvl w:ilvl="2" w:tentative="0">
      <w:start w:val="1"/>
      <w:numFmt w:val="lowerRoman"/>
      <w:lvlText w:val="%3."/>
      <w:lvlJc w:val="right"/>
      <w:pPr>
        <w:ind w:left="2378" w:hanging="420"/>
      </w:pPr>
    </w:lvl>
    <w:lvl w:ilvl="3" w:tentative="0">
      <w:start w:val="1"/>
      <w:numFmt w:val="decimal"/>
      <w:lvlText w:val="%4."/>
      <w:lvlJc w:val="left"/>
      <w:pPr>
        <w:ind w:left="2798" w:hanging="420"/>
      </w:pPr>
    </w:lvl>
    <w:lvl w:ilvl="4" w:tentative="0">
      <w:start w:val="1"/>
      <w:numFmt w:val="lowerLetter"/>
      <w:lvlText w:val="%5)"/>
      <w:lvlJc w:val="left"/>
      <w:pPr>
        <w:ind w:left="3218" w:hanging="420"/>
      </w:pPr>
    </w:lvl>
    <w:lvl w:ilvl="5" w:tentative="0">
      <w:start w:val="1"/>
      <w:numFmt w:val="lowerRoman"/>
      <w:lvlText w:val="%6."/>
      <w:lvlJc w:val="right"/>
      <w:pPr>
        <w:ind w:left="3638" w:hanging="420"/>
      </w:pPr>
    </w:lvl>
    <w:lvl w:ilvl="6" w:tentative="0">
      <w:start w:val="1"/>
      <w:numFmt w:val="decimal"/>
      <w:lvlText w:val="%7."/>
      <w:lvlJc w:val="left"/>
      <w:pPr>
        <w:ind w:left="4058" w:hanging="420"/>
      </w:pPr>
    </w:lvl>
    <w:lvl w:ilvl="7" w:tentative="0">
      <w:start w:val="1"/>
      <w:numFmt w:val="lowerLetter"/>
      <w:lvlText w:val="%8)"/>
      <w:lvlJc w:val="left"/>
      <w:pPr>
        <w:ind w:left="4478" w:hanging="420"/>
      </w:pPr>
    </w:lvl>
    <w:lvl w:ilvl="8" w:tentative="0">
      <w:start w:val="1"/>
      <w:numFmt w:val="lowerRoman"/>
      <w:lvlText w:val="%9."/>
      <w:lvlJc w:val="right"/>
      <w:pPr>
        <w:ind w:left="4898" w:hanging="420"/>
      </w:pPr>
    </w:lvl>
  </w:abstractNum>
  <w:abstractNum w:abstractNumId="11">
    <w:nsid w:val="1A402DEE"/>
    <w:multiLevelType w:val="multilevel"/>
    <w:tmpl w:val="1A402DEE"/>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1D5755D3"/>
    <w:multiLevelType w:val="multilevel"/>
    <w:tmpl w:val="1D5755D3"/>
    <w:lvl w:ilvl="0" w:tentative="0">
      <w:start w:val="1"/>
      <w:numFmt w:val="bullet"/>
      <w:pStyle w:val="69"/>
      <w:lvlText w:val=""/>
      <w:lvlJc w:val="left"/>
      <w:pPr>
        <w:tabs>
          <w:tab w:val="left" w:pos="2126"/>
        </w:tabs>
        <w:ind w:left="2126" w:hanging="425"/>
      </w:pPr>
      <w:rPr>
        <w:rFonts w:hint="default" w:ascii="Wingdings" w:hAnsi="Wingdings" w:cs="Wingdings"/>
        <w:b w:val="0"/>
        <w:bCs w:val="0"/>
        <w:i w:val="0"/>
        <w:iCs w:val="0"/>
        <w:caps w:val="0"/>
        <w:strike w:val="0"/>
        <w:dstrike w:val="0"/>
        <w:vanish w:val="0"/>
        <w:color w:val="000000"/>
        <w:spacing w:val="0"/>
        <w:w w:val="100"/>
        <w:position w:val="2"/>
        <w:sz w:val="16"/>
        <w:szCs w:val="16"/>
        <w:vertAlign w:val="baseline"/>
        <w14:shadow w14:blurRad="0" w14:dist="0" w14:dir="0" w14:sx="0" w14:sy="0" w14:kx="0" w14:ky="0" w14:algn="none">
          <w14:srgbClr w14:val="000000"/>
        </w14:shadow>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20336C7D"/>
    <w:multiLevelType w:val="multilevel"/>
    <w:tmpl w:val="20336C7D"/>
    <w:lvl w:ilvl="0" w:tentative="0">
      <w:start w:val="1"/>
      <w:numFmt w:val="decimal"/>
      <w:lvlText w:val="%1."/>
      <w:lvlJc w:val="left"/>
      <w:pPr>
        <w:ind w:left="84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A91A48"/>
    <w:multiLevelType w:val="multilevel"/>
    <w:tmpl w:val="21A91A48"/>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0"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2242BE5"/>
    <w:multiLevelType w:val="singleLevel"/>
    <w:tmpl w:val="22242BE5"/>
    <w:lvl w:ilvl="0" w:tentative="0">
      <w:start w:val="1"/>
      <w:numFmt w:val="bullet"/>
      <w:lvlText w:val=""/>
      <w:lvlJc w:val="left"/>
      <w:pPr>
        <w:ind w:left="420" w:hanging="420"/>
      </w:pPr>
      <w:rPr>
        <w:rFonts w:hint="default" w:ascii="Wingdings" w:hAnsi="Wingdings"/>
      </w:rPr>
    </w:lvl>
  </w:abstractNum>
  <w:abstractNum w:abstractNumId="16">
    <w:nsid w:val="26B81EB9"/>
    <w:multiLevelType w:val="multilevel"/>
    <w:tmpl w:val="26B81EB9"/>
    <w:lvl w:ilvl="0" w:tentative="0">
      <w:start w:val="1"/>
      <w:numFmt w:val="decimal"/>
      <w:lvlText w:val="%1."/>
      <w:lvlJc w:val="left"/>
      <w:pPr>
        <w:tabs>
          <w:tab w:val="left" w:pos="420"/>
        </w:tabs>
        <w:ind w:left="420" w:hanging="420"/>
      </w:pPr>
      <w:rPr>
        <w:rFonts w:hint="eastAsia"/>
        <w:b w:val="0"/>
        <w:i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560"/>
        </w:tabs>
        <w:ind w:left="1560" w:hanging="720"/>
      </w:pPr>
      <w:rPr>
        <w:rFonts w:hint="eastAsia"/>
        <w:b w:val="0"/>
      </w:rPr>
    </w:lvl>
    <w:lvl w:ilvl="3" w:tentative="0">
      <w:start w:val="1"/>
      <w:numFmt w:val="decimal"/>
      <w:lvlText w:val="%4."/>
      <w:lvlJc w:val="left"/>
      <w:pPr>
        <w:tabs>
          <w:tab w:val="left" w:pos="1680"/>
        </w:tabs>
        <w:ind w:left="1680" w:hanging="420"/>
      </w:pPr>
    </w:lvl>
    <w:lvl w:ilvl="4" w:tentative="0">
      <w:start w:val="6"/>
      <w:numFmt w:val="decimal"/>
      <w:lvlText w:val="%5．"/>
      <w:lvlJc w:val="left"/>
      <w:pPr>
        <w:tabs>
          <w:tab w:val="left" w:pos="2400"/>
        </w:tabs>
        <w:ind w:left="2400" w:hanging="720"/>
      </w:pPr>
      <w:rPr>
        <w:rFonts w:hint="default"/>
      </w:rPr>
    </w:lvl>
    <w:lvl w:ilvl="5" w:tentative="0">
      <w:start w:val="2"/>
      <w:numFmt w:val="japaneseCounting"/>
      <w:lvlText w:val="（%6）"/>
      <w:lvlJc w:val="left"/>
      <w:pPr>
        <w:ind w:left="2820" w:hanging="720"/>
      </w:pPr>
      <w:rPr>
        <w:rFonts w:hint="default"/>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27F80D79"/>
    <w:multiLevelType w:val="multilevel"/>
    <w:tmpl w:val="27F80D79"/>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18">
    <w:nsid w:val="2AF0710F"/>
    <w:multiLevelType w:val="multilevel"/>
    <w:tmpl w:val="2AF0710F"/>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BAD4DE6"/>
    <w:multiLevelType w:val="multilevel"/>
    <w:tmpl w:val="2BAD4DE6"/>
    <w:lvl w:ilvl="0" w:tentative="0">
      <w:start w:val="1"/>
      <w:numFmt w:val="bullet"/>
      <w:lvlText w:val=""/>
      <w:lvlJc w:val="left"/>
      <w:pPr>
        <w:tabs>
          <w:tab w:val="left" w:pos="720"/>
        </w:tabs>
        <w:ind w:left="720" w:hanging="360"/>
      </w:pPr>
      <w:rPr>
        <w:rFonts w:hint="default" w:ascii="Wingdings" w:hAnsi="Wingdings"/>
      </w:rPr>
    </w:lvl>
    <w:lvl w:ilvl="1" w:tentative="0">
      <w:start w:val="2"/>
      <w:numFmt w:val="decimal"/>
      <w:isLgl/>
      <w:lvlText w:val="%1.%2"/>
      <w:lvlJc w:val="left"/>
      <w:pPr>
        <w:tabs>
          <w:tab w:val="left" w:pos="1400"/>
        </w:tabs>
        <w:ind w:left="1400" w:hanging="900"/>
      </w:pPr>
      <w:rPr>
        <w:rFonts w:hint="default"/>
      </w:rPr>
    </w:lvl>
    <w:lvl w:ilvl="2" w:tentative="0">
      <w:start w:val="2"/>
      <w:numFmt w:val="decimal"/>
      <w:isLgl/>
      <w:lvlText w:val="%1.%2.%3"/>
      <w:lvlJc w:val="left"/>
      <w:pPr>
        <w:tabs>
          <w:tab w:val="left" w:pos="1540"/>
        </w:tabs>
        <w:ind w:left="1540" w:hanging="900"/>
      </w:pPr>
      <w:rPr>
        <w:rFonts w:hint="default"/>
      </w:rPr>
    </w:lvl>
    <w:lvl w:ilvl="3" w:tentative="0">
      <w:start w:val="1"/>
      <w:numFmt w:val="decimal"/>
      <w:isLgl/>
      <w:lvlText w:val="%1.%2.%3.%4"/>
      <w:lvlJc w:val="left"/>
      <w:pPr>
        <w:tabs>
          <w:tab w:val="left" w:pos="1860"/>
        </w:tabs>
        <w:ind w:left="1860" w:hanging="1080"/>
      </w:pPr>
      <w:rPr>
        <w:rFonts w:hint="default"/>
      </w:rPr>
    </w:lvl>
    <w:lvl w:ilvl="4" w:tentative="0">
      <w:start w:val="1"/>
      <w:numFmt w:val="decimal"/>
      <w:isLgl/>
      <w:lvlText w:val="%1.%2.%3.%4.%5"/>
      <w:lvlJc w:val="left"/>
      <w:pPr>
        <w:tabs>
          <w:tab w:val="left" w:pos="2360"/>
        </w:tabs>
        <w:ind w:left="2360" w:hanging="1440"/>
      </w:pPr>
      <w:rPr>
        <w:rFonts w:hint="default"/>
      </w:rPr>
    </w:lvl>
    <w:lvl w:ilvl="5" w:tentative="0">
      <w:start w:val="1"/>
      <w:numFmt w:val="decimal"/>
      <w:isLgl/>
      <w:lvlText w:val="%1.%2.%3.%4.%5.%6"/>
      <w:lvlJc w:val="left"/>
      <w:pPr>
        <w:tabs>
          <w:tab w:val="left" w:pos="2500"/>
        </w:tabs>
        <w:ind w:left="2500" w:hanging="1440"/>
      </w:pPr>
      <w:rPr>
        <w:rFonts w:hint="default"/>
      </w:rPr>
    </w:lvl>
    <w:lvl w:ilvl="6" w:tentative="0">
      <w:start w:val="1"/>
      <w:numFmt w:val="decimal"/>
      <w:isLgl/>
      <w:lvlText w:val="%1.%2.%3.%4.%5.%6.%7"/>
      <w:lvlJc w:val="left"/>
      <w:pPr>
        <w:tabs>
          <w:tab w:val="left" w:pos="3000"/>
        </w:tabs>
        <w:ind w:left="3000" w:hanging="1800"/>
      </w:pPr>
      <w:rPr>
        <w:rFonts w:hint="default"/>
      </w:rPr>
    </w:lvl>
    <w:lvl w:ilvl="7" w:tentative="0">
      <w:start w:val="1"/>
      <w:numFmt w:val="decimal"/>
      <w:isLgl/>
      <w:lvlText w:val="%1.%2.%3.%4.%5.%6.%7.%8"/>
      <w:lvlJc w:val="left"/>
      <w:pPr>
        <w:tabs>
          <w:tab w:val="left" w:pos="3500"/>
        </w:tabs>
        <w:ind w:left="3500" w:hanging="2160"/>
      </w:pPr>
      <w:rPr>
        <w:rFonts w:hint="default"/>
      </w:rPr>
    </w:lvl>
    <w:lvl w:ilvl="8" w:tentative="0">
      <w:start w:val="1"/>
      <w:numFmt w:val="decimal"/>
      <w:isLgl/>
      <w:lvlText w:val="%1.%2.%3.%4.%5.%6.%7.%8.%9"/>
      <w:lvlJc w:val="left"/>
      <w:pPr>
        <w:tabs>
          <w:tab w:val="left" w:pos="3640"/>
        </w:tabs>
        <w:ind w:left="3640" w:hanging="2160"/>
      </w:pPr>
      <w:rPr>
        <w:rFonts w:hint="default"/>
      </w:rPr>
    </w:lvl>
  </w:abstractNum>
  <w:abstractNum w:abstractNumId="20">
    <w:nsid w:val="2E564653"/>
    <w:multiLevelType w:val="multilevel"/>
    <w:tmpl w:val="2E564653"/>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21">
    <w:nsid w:val="2E75722B"/>
    <w:multiLevelType w:val="multilevel"/>
    <w:tmpl w:val="2E75722B"/>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2">
    <w:nsid w:val="2F371838"/>
    <w:multiLevelType w:val="multilevel"/>
    <w:tmpl w:val="2F371838"/>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3">
    <w:nsid w:val="2FD54200"/>
    <w:multiLevelType w:val="multilevel"/>
    <w:tmpl w:val="2FD54200"/>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24">
    <w:nsid w:val="38653AFF"/>
    <w:multiLevelType w:val="multilevel"/>
    <w:tmpl w:val="38653AFF"/>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5">
    <w:nsid w:val="3AA61F62"/>
    <w:multiLevelType w:val="multilevel"/>
    <w:tmpl w:val="3AA61F62"/>
    <w:lvl w:ilvl="0" w:tentative="0">
      <w:start w:val="1"/>
      <w:numFmt w:val="decimal"/>
      <w:suff w:val="space"/>
      <w:lvlText w:val="%1、"/>
      <w:lvlJc w:val="left"/>
      <w:pPr>
        <w:ind w:left="643" w:hanging="360"/>
      </w:pPr>
      <w:rPr>
        <w:rFonts w:hint="eastAsia" w:ascii="宋体" w:hAnsi="宋体" w:eastAsia="宋体"/>
        <w:b w:val="0"/>
      </w:rPr>
    </w:lvl>
    <w:lvl w:ilvl="1" w:tentative="0">
      <w:start w:val="1"/>
      <w:numFmt w:val="decimal"/>
      <w:lvlText w:val="%2）"/>
      <w:lvlJc w:val="left"/>
      <w:pPr>
        <w:ind w:left="1058" w:hanging="360"/>
      </w:pPr>
    </w:lvl>
    <w:lvl w:ilvl="2" w:tentative="0">
      <w:start w:val="1"/>
      <w:numFmt w:val="lowerRoman"/>
      <w:lvlText w:val="%3."/>
      <w:lvlJc w:val="right"/>
      <w:pPr>
        <w:ind w:left="1538" w:hanging="420"/>
      </w:pPr>
    </w:lvl>
    <w:lvl w:ilvl="3" w:tentative="0">
      <w:start w:val="1"/>
      <w:numFmt w:val="decimal"/>
      <w:lvlText w:val="%4."/>
      <w:lvlJc w:val="left"/>
      <w:pPr>
        <w:ind w:left="1958" w:hanging="420"/>
      </w:pPr>
    </w:lvl>
    <w:lvl w:ilvl="4" w:tentative="0">
      <w:start w:val="1"/>
      <w:numFmt w:val="lowerLetter"/>
      <w:lvlText w:val="%5)"/>
      <w:lvlJc w:val="left"/>
      <w:pPr>
        <w:ind w:left="2378" w:hanging="420"/>
      </w:pPr>
    </w:lvl>
    <w:lvl w:ilvl="5" w:tentative="0">
      <w:start w:val="1"/>
      <w:numFmt w:val="lowerRoman"/>
      <w:lvlText w:val="%6."/>
      <w:lvlJc w:val="right"/>
      <w:pPr>
        <w:ind w:left="2798" w:hanging="420"/>
      </w:pPr>
    </w:lvl>
    <w:lvl w:ilvl="6" w:tentative="0">
      <w:start w:val="1"/>
      <w:numFmt w:val="decimal"/>
      <w:lvlText w:val="%7."/>
      <w:lvlJc w:val="left"/>
      <w:pPr>
        <w:ind w:left="3218" w:hanging="420"/>
      </w:pPr>
    </w:lvl>
    <w:lvl w:ilvl="7" w:tentative="0">
      <w:start w:val="1"/>
      <w:numFmt w:val="lowerLetter"/>
      <w:lvlText w:val="%8)"/>
      <w:lvlJc w:val="left"/>
      <w:pPr>
        <w:ind w:left="3638" w:hanging="420"/>
      </w:pPr>
    </w:lvl>
    <w:lvl w:ilvl="8" w:tentative="0">
      <w:start w:val="1"/>
      <w:numFmt w:val="lowerRoman"/>
      <w:lvlText w:val="%9."/>
      <w:lvlJc w:val="right"/>
      <w:pPr>
        <w:ind w:left="4058" w:hanging="420"/>
      </w:pPr>
    </w:lvl>
  </w:abstractNum>
  <w:abstractNum w:abstractNumId="26">
    <w:nsid w:val="3BE86815"/>
    <w:multiLevelType w:val="multilevel"/>
    <w:tmpl w:val="3BE86815"/>
    <w:lvl w:ilvl="0" w:tentative="0">
      <w:start w:val="1"/>
      <w:numFmt w:val="japaneseCounting"/>
      <w:lvlText w:val="%1、"/>
      <w:lvlJc w:val="left"/>
      <w:pPr>
        <w:ind w:left="420" w:hanging="420"/>
      </w:pPr>
      <w:rPr>
        <w:rFonts w:hint="default" w:ascii="Times New Roman" w:hAnsi="Times New Roman" w:cs="Times New Roman"/>
        <w:b/>
      </w:rPr>
    </w:lvl>
    <w:lvl w:ilvl="1" w:tentative="0">
      <w:start w:val="3"/>
      <w:numFmt w:val="chineseCountingThousand"/>
      <w:lvlText w:val="%2、"/>
      <w:lvlJc w:val="left"/>
      <w:pPr>
        <w:tabs>
          <w:tab w:val="left" w:pos="420"/>
        </w:tabs>
        <w:ind w:left="420" w:firstLine="0"/>
      </w:pPr>
      <w:rPr>
        <w:rFonts w:hint="eastAsia"/>
        <w:b w:val="0"/>
        <w:i w:val="0"/>
        <w:spacing w:val="0"/>
        <w:w w:val="100"/>
        <w:position w:val="0"/>
        <w:sz w:val="24"/>
        <w:szCs w:val="21"/>
      </w:rPr>
    </w:lvl>
    <w:lvl w:ilvl="2" w:tentative="0">
      <w:start w:val="1"/>
      <w:numFmt w:val="decimal"/>
      <w:lvlText w:val="%3、"/>
      <w:lvlJc w:val="left"/>
      <w:pPr>
        <w:ind w:left="786" w:hanging="360"/>
      </w:pPr>
      <w:rPr>
        <w:rFonts w:hint="eastAsia"/>
        <w:b/>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3F903E35"/>
    <w:multiLevelType w:val="multilevel"/>
    <w:tmpl w:val="3F903E35"/>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0"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0151F1F"/>
    <w:multiLevelType w:val="multilevel"/>
    <w:tmpl w:val="40151F1F"/>
    <w:lvl w:ilvl="0" w:tentative="0">
      <w:start w:val="1"/>
      <w:numFmt w:val="decimal"/>
      <w:lvlText w:val="%1."/>
      <w:lvlJc w:val="left"/>
      <w:pPr>
        <w:tabs>
          <w:tab w:val="left" w:pos="420"/>
        </w:tabs>
        <w:ind w:left="420" w:hanging="420"/>
      </w:pPr>
      <w:rPr>
        <w:rFonts w:hint="eastAsia"/>
        <w:b w:val="0"/>
        <w:i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9">
    <w:nsid w:val="43B41DBC"/>
    <w:multiLevelType w:val="multilevel"/>
    <w:tmpl w:val="43B41DBC"/>
    <w:lvl w:ilvl="0" w:tentative="0">
      <w:start w:val="1"/>
      <w:numFmt w:val="decimal"/>
      <w:lvlText w:val="%1、"/>
      <w:lvlJc w:val="left"/>
      <w:pPr>
        <w:ind w:left="502"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0">
    <w:nsid w:val="468E6E10"/>
    <w:multiLevelType w:val="multilevel"/>
    <w:tmpl w:val="468E6E10"/>
    <w:lvl w:ilvl="0" w:tentative="0">
      <w:start w:val="1"/>
      <w:numFmt w:val="decimal"/>
      <w:lvlText w:val="%1、"/>
      <w:lvlJc w:val="left"/>
      <w:pPr>
        <w:ind w:left="502"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469F04F1"/>
    <w:multiLevelType w:val="multilevel"/>
    <w:tmpl w:val="469F04F1"/>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6FB617A"/>
    <w:multiLevelType w:val="multilevel"/>
    <w:tmpl w:val="46FB617A"/>
    <w:lvl w:ilvl="0" w:tentative="0">
      <w:start w:val="1"/>
      <w:numFmt w:val="decimal"/>
      <w:suff w:val="space"/>
      <w:lvlText w:val="%1、"/>
      <w:lvlJc w:val="left"/>
      <w:pPr>
        <w:ind w:left="420" w:hanging="420"/>
      </w:pPr>
      <w:rPr>
        <w:rFonts w:hint="eastAsia" w:ascii="宋体" w:hAnsi="宋体" w:eastAsia="宋体"/>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3">
    <w:nsid w:val="48692C23"/>
    <w:multiLevelType w:val="multilevel"/>
    <w:tmpl w:val="48692C23"/>
    <w:lvl w:ilvl="0" w:tentative="0">
      <w:start w:val="1"/>
      <w:numFmt w:val="japaneseCounting"/>
      <w:lvlText w:val="（%1）"/>
      <w:lvlJc w:val="left"/>
      <w:pPr>
        <w:ind w:left="842" w:hanging="420"/>
      </w:pPr>
      <w:rPr>
        <w:b/>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34">
    <w:nsid w:val="4CC26FFB"/>
    <w:multiLevelType w:val="multilevel"/>
    <w:tmpl w:val="4CC26FFB"/>
    <w:lvl w:ilvl="0" w:tentative="0">
      <w:start w:val="1"/>
      <w:numFmt w:val="japaneseCounting"/>
      <w:lvlText w:val="%1、"/>
      <w:lvlJc w:val="left"/>
      <w:pPr>
        <w:ind w:left="60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abstractNum w:abstractNumId="35">
    <w:nsid w:val="4ED90F04"/>
    <w:multiLevelType w:val="multilevel"/>
    <w:tmpl w:val="4ED90F04"/>
    <w:lvl w:ilvl="0" w:tentative="0">
      <w:start w:val="1"/>
      <w:numFmt w:val="decimal"/>
      <w:lvlText w:val="%1."/>
      <w:lvlJc w:val="left"/>
      <w:pPr>
        <w:tabs>
          <w:tab w:val="left" w:pos="360"/>
        </w:tabs>
        <w:ind w:left="360" w:hanging="360"/>
      </w:pPr>
    </w:lvl>
    <w:lvl w:ilvl="1" w:tentative="0">
      <w:start w:val="2"/>
      <w:numFmt w:val="decimal"/>
      <w:isLgl/>
      <w:lvlText w:val="%1.%2"/>
      <w:lvlJc w:val="left"/>
      <w:pPr>
        <w:tabs>
          <w:tab w:val="left" w:pos="1040"/>
        </w:tabs>
        <w:ind w:left="1040" w:hanging="900"/>
      </w:pPr>
      <w:rPr>
        <w:rFonts w:hint="default"/>
      </w:rPr>
    </w:lvl>
    <w:lvl w:ilvl="2" w:tentative="0">
      <w:start w:val="2"/>
      <w:numFmt w:val="decimal"/>
      <w:isLgl/>
      <w:lvlText w:val="%1.%2.%3"/>
      <w:lvlJc w:val="left"/>
      <w:pPr>
        <w:tabs>
          <w:tab w:val="left" w:pos="1180"/>
        </w:tabs>
        <w:ind w:left="1180" w:hanging="900"/>
      </w:pPr>
      <w:rPr>
        <w:rFonts w:hint="default"/>
      </w:rPr>
    </w:lvl>
    <w:lvl w:ilvl="3" w:tentative="0">
      <w:start w:val="1"/>
      <w:numFmt w:val="decimal"/>
      <w:isLgl/>
      <w:lvlText w:val="%1.%2.%3.%4"/>
      <w:lvlJc w:val="left"/>
      <w:pPr>
        <w:tabs>
          <w:tab w:val="left" w:pos="1500"/>
        </w:tabs>
        <w:ind w:left="1500" w:hanging="1080"/>
      </w:pPr>
      <w:rPr>
        <w:rFonts w:hint="default"/>
      </w:rPr>
    </w:lvl>
    <w:lvl w:ilvl="4" w:tentative="0">
      <w:start w:val="1"/>
      <w:numFmt w:val="decimal"/>
      <w:isLgl/>
      <w:lvlText w:val="%1.%2.%3.%4.%5"/>
      <w:lvlJc w:val="left"/>
      <w:pPr>
        <w:tabs>
          <w:tab w:val="left" w:pos="2000"/>
        </w:tabs>
        <w:ind w:left="2000" w:hanging="1440"/>
      </w:pPr>
      <w:rPr>
        <w:rFonts w:hint="default"/>
      </w:rPr>
    </w:lvl>
    <w:lvl w:ilvl="5" w:tentative="0">
      <w:start w:val="1"/>
      <w:numFmt w:val="decimal"/>
      <w:isLgl/>
      <w:lvlText w:val="%1.%2.%3.%4.%5.%6"/>
      <w:lvlJc w:val="left"/>
      <w:pPr>
        <w:tabs>
          <w:tab w:val="left" w:pos="2140"/>
        </w:tabs>
        <w:ind w:left="2140" w:hanging="1440"/>
      </w:pPr>
      <w:rPr>
        <w:rFonts w:hint="default"/>
      </w:rPr>
    </w:lvl>
    <w:lvl w:ilvl="6" w:tentative="0">
      <w:start w:val="1"/>
      <w:numFmt w:val="decimal"/>
      <w:isLgl/>
      <w:lvlText w:val="%1.%2.%3.%4.%5.%6.%7"/>
      <w:lvlJc w:val="left"/>
      <w:pPr>
        <w:tabs>
          <w:tab w:val="left" w:pos="2640"/>
        </w:tabs>
        <w:ind w:left="2640" w:hanging="1800"/>
      </w:pPr>
      <w:rPr>
        <w:rFonts w:hint="default"/>
      </w:rPr>
    </w:lvl>
    <w:lvl w:ilvl="7" w:tentative="0">
      <w:start w:val="1"/>
      <w:numFmt w:val="decimal"/>
      <w:isLgl/>
      <w:lvlText w:val="%1.%2.%3.%4.%5.%6.%7.%8"/>
      <w:lvlJc w:val="left"/>
      <w:pPr>
        <w:tabs>
          <w:tab w:val="left" w:pos="3140"/>
        </w:tabs>
        <w:ind w:left="3140" w:hanging="2160"/>
      </w:pPr>
      <w:rPr>
        <w:rFonts w:hint="default"/>
      </w:rPr>
    </w:lvl>
    <w:lvl w:ilvl="8" w:tentative="0">
      <w:start w:val="1"/>
      <w:numFmt w:val="decimal"/>
      <w:isLgl/>
      <w:lvlText w:val="%1.%2.%3.%4.%5.%6.%7.%8.%9"/>
      <w:lvlJc w:val="left"/>
      <w:pPr>
        <w:tabs>
          <w:tab w:val="left" w:pos="3280"/>
        </w:tabs>
        <w:ind w:left="3280" w:hanging="2160"/>
      </w:pPr>
      <w:rPr>
        <w:rFonts w:hint="default"/>
      </w:rPr>
    </w:lvl>
  </w:abstractNum>
  <w:abstractNum w:abstractNumId="36">
    <w:nsid w:val="50E933C4"/>
    <w:multiLevelType w:val="multilevel"/>
    <w:tmpl w:val="50E933C4"/>
    <w:lvl w:ilvl="0" w:tentative="0">
      <w:start w:val="1"/>
      <w:numFmt w:val="japaneseCounting"/>
      <w:lvlText w:val="%1、"/>
      <w:lvlJc w:val="left"/>
      <w:pPr>
        <w:ind w:left="420" w:hanging="420"/>
      </w:pPr>
      <w:rPr>
        <w:rFonts w:hint="default" w:ascii="Times New Roman" w:hAnsi="Times New Roman" w:cs="Times New Roman"/>
        <w:b/>
        <w:lang w:val="en-US"/>
      </w:rPr>
    </w:lvl>
    <w:lvl w:ilvl="1" w:tentative="0">
      <w:start w:val="1"/>
      <w:numFmt w:val="chineseCountingThousand"/>
      <w:lvlText w:val="%2、"/>
      <w:lvlJc w:val="left"/>
      <w:pPr>
        <w:tabs>
          <w:tab w:val="left" w:pos="420"/>
        </w:tabs>
        <w:ind w:left="420" w:firstLine="0"/>
      </w:pPr>
      <w:rPr>
        <w:rFonts w:hint="eastAsia"/>
        <w:b w:val="0"/>
        <w:i w:val="0"/>
        <w:spacing w:val="0"/>
        <w:w w:val="100"/>
        <w:position w:val="0"/>
        <w:sz w:val="24"/>
        <w:szCs w:val="21"/>
        <w:lang w:val="en-US"/>
      </w:rPr>
    </w:lvl>
    <w:lvl w:ilvl="2" w:tentative="0">
      <w:start w:val="1"/>
      <w:numFmt w:val="decimal"/>
      <w:lvlText w:val="%3、"/>
      <w:lvlJc w:val="left"/>
      <w:pPr>
        <w:ind w:left="786" w:hanging="360"/>
      </w:pPr>
      <w:rPr>
        <w:b/>
        <w:lang w:val="en-US"/>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28D3198"/>
    <w:multiLevelType w:val="singleLevel"/>
    <w:tmpl w:val="528D3198"/>
    <w:lvl w:ilvl="0" w:tentative="0">
      <w:start w:val="3"/>
      <w:numFmt w:val="chineseCounting"/>
      <w:suff w:val="space"/>
      <w:lvlText w:val="第%1部分"/>
      <w:lvlJc w:val="left"/>
      <w:rPr>
        <w:rFonts w:hint="eastAsia"/>
      </w:rPr>
    </w:lvl>
  </w:abstractNum>
  <w:abstractNum w:abstractNumId="38">
    <w:nsid w:val="55C23D5A"/>
    <w:multiLevelType w:val="multilevel"/>
    <w:tmpl w:val="55C23D5A"/>
    <w:lvl w:ilvl="0" w:tentative="0">
      <w:start w:val="1"/>
      <w:numFmt w:val="decimal"/>
      <w:suff w:val="space"/>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55CF2C8E"/>
    <w:multiLevelType w:val="multilevel"/>
    <w:tmpl w:val="55CF2C8E"/>
    <w:lvl w:ilvl="0" w:tentative="0">
      <w:start w:val="1"/>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0">
    <w:nsid w:val="5DDE470A"/>
    <w:multiLevelType w:val="multilevel"/>
    <w:tmpl w:val="5DDE470A"/>
    <w:lvl w:ilvl="0" w:tentative="0">
      <w:start w:val="1"/>
      <w:numFmt w:val="decimal"/>
      <w:suff w:val="space"/>
      <w:lvlText w:val="%1、"/>
      <w:lvlJc w:val="left"/>
      <w:pPr>
        <w:ind w:left="360" w:hanging="360"/>
      </w:pPr>
      <w:rPr>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5DFB1EBE"/>
    <w:multiLevelType w:val="multilevel"/>
    <w:tmpl w:val="5DFB1EBE"/>
    <w:lvl w:ilvl="0" w:tentative="0">
      <w:start w:val="1"/>
      <w:numFmt w:val="japaneseCounting"/>
      <w:lvlText w:val="（%1）"/>
      <w:lvlJc w:val="left"/>
      <w:pPr>
        <w:ind w:left="420" w:hanging="420"/>
      </w:pPr>
      <w:rPr>
        <w:rFonts w:hint="default"/>
        <w:b/>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E0A629E"/>
    <w:multiLevelType w:val="multilevel"/>
    <w:tmpl w:val="5E0A629E"/>
    <w:lvl w:ilvl="0" w:tentative="0">
      <w:start w:val="1"/>
      <w:numFmt w:val="decimal"/>
      <w:suff w:val="space"/>
      <w:lvlText w:val="%1、"/>
      <w:lvlJc w:val="left"/>
      <w:pPr>
        <w:ind w:left="360" w:hanging="360"/>
      </w:pPr>
      <w:rPr>
        <w:b w:val="0"/>
      </w:rPr>
    </w:lvl>
    <w:lvl w:ilvl="1" w:tentative="0">
      <w:start w:val="1"/>
      <w:numFmt w:val="decimal"/>
      <w:lvlText w:val="%2）"/>
      <w:lvlJc w:val="left"/>
      <w:pPr>
        <w:ind w:left="1020" w:hanging="36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3">
    <w:nsid w:val="60445806"/>
    <w:multiLevelType w:val="multilevel"/>
    <w:tmpl w:val="60445806"/>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4">
    <w:nsid w:val="611126C7"/>
    <w:multiLevelType w:val="multilevel"/>
    <w:tmpl w:val="611126C7"/>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5">
    <w:nsid w:val="62970BA5"/>
    <w:multiLevelType w:val="multilevel"/>
    <w:tmpl w:val="62970BA5"/>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675E3EC7"/>
    <w:multiLevelType w:val="multilevel"/>
    <w:tmpl w:val="675E3EC7"/>
    <w:lvl w:ilvl="0" w:tentative="0">
      <w:start w:val="1"/>
      <w:numFmt w:val="decimal"/>
      <w:lvlText w:val="%1."/>
      <w:lvlJc w:val="left"/>
      <w:pPr>
        <w:tabs>
          <w:tab w:val="left" w:pos="420"/>
        </w:tabs>
        <w:ind w:left="420" w:hanging="420"/>
      </w:pPr>
      <w:rPr>
        <w:rFonts w:hint="eastAsia"/>
        <w:b w:val="0"/>
        <w:i w:val="0"/>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tabs>
          <w:tab w:val="left" w:pos="1560"/>
        </w:tabs>
        <w:ind w:left="1560" w:hanging="720"/>
      </w:pPr>
      <w:rPr>
        <w:rFonts w:hint="eastAsia"/>
        <w:b w:val="0"/>
      </w:rPr>
    </w:lvl>
    <w:lvl w:ilvl="3" w:tentative="0">
      <w:start w:val="1"/>
      <w:numFmt w:val="decimal"/>
      <w:lvlText w:val="%4."/>
      <w:lvlJc w:val="left"/>
      <w:pPr>
        <w:tabs>
          <w:tab w:val="left" w:pos="1680"/>
        </w:tabs>
        <w:ind w:left="1680" w:hanging="420"/>
      </w:pPr>
    </w:lvl>
    <w:lvl w:ilvl="4" w:tentative="0">
      <w:start w:val="6"/>
      <w:numFmt w:val="decimal"/>
      <w:lvlText w:val="%5．"/>
      <w:lvlJc w:val="left"/>
      <w:pPr>
        <w:tabs>
          <w:tab w:val="left" w:pos="2400"/>
        </w:tabs>
        <w:ind w:left="2400" w:hanging="720"/>
      </w:pPr>
      <w:rPr>
        <w:rFonts w:hint="default"/>
      </w:rPr>
    </w:lvl>
    <w:lvl w:ilvl="5" w:tentative="0">
      <w:start w:val="2"/>
      <w:numFmt w:val="japaneseCounting"/>
      <w:lvlText w:val="（%6）"/>
      <w:lvlJc w:val="left"/>
      <w:pPr>
        <w:ind w:left="2820" w:hanging="720"/>
      </w:pPr>
      <w:rPr>
        <w:rFonts w:hint="default"/>
      </w:rPr>
    </w:lvl>
    <w:lvl w:ilvl="6" w:tentative="0">
      <w:start w:val="1"/>
      <w:numFmt w:val="upperLetter"/>
      <w:lvlText w:val="%7．"/>
      <w:lvlJc w:val="left"/>
      <w:pPr>
        <w:ind w:left="1636" w:hanging="360"/>
      </w:pPr>
      <w:rPr>
        <w:rFonts w:hint="default"/>
      </w:rPr>
    </w:lvl>
    <w:lvl w:ilvl="7" w:tentative="0">
      <w:start w:val="1"/>
      <w:numFmt w:val="lowerLetter"/>
      <w:lvlText w:val="%8)"/>
      <w:lvlJc w:val="left"/>
      <w:pPr>
        <w:tabs>
          <w:tab w:val="left" w:pos="3360"/>
        </w:tabs>
        <w:ind w:left="3360" w:hanging="420"/>
      </w:pPr>
    </w:lvl>
    <w:lvl w:ilvl="8" w:tentative="0">
      <w:start w:val="2"/>
      <w:numFmt w:val="upperLetter"/>
      <w:lvlText w:val="%9、"/>
      <w:lvlJc w:val="left"/>
      <w:pPr>
        <w:ind w:left="3720" w:hanging="360"/>
      </w:pPr>
      <w:rPr>
        <w:rFonts w:hint="default"/>
      </w:rPr>
    </w:lvl>
  </w:abstractNum>
  <w:abstractNum w:abstractNumId="47">
    <w:nsid w:val="6B2717C1"/>
    <w:multiLevelType w:val="multilevel"/>
    <w:tmpl w:val="6B2717C1"/>
    <w:lvl w:ilvl="0" w:tentative="0">
      <w:start w:val="1"/>
      <w:numFmt w:val="decimal"/>
      <w:suff w:val="space"/>
      <w:lvlText w:val="%1、"/>
      <w:lvlJc w:val="left"/>
      <w:pPr>
        <w:ind w:left="360" w:hanging="36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8">
    <w:nsid w:val="6D231CF6"/>
    <w:multiLevelType w:val="multilevel"/>
    <w:tmpl w:val="6D231CF6"/>
    <w:lvl w:ilvl="0" w:tentative="0">
      <w:start w:val="1"/>
      <w:numFmt w:val="decimalEnclosedCircle"/>
      <w:pStyle w:val="43"/>
      <w:lvlText w:val="%1"/>
      <w:lvlJc w:val="left"/>
      <w:pPr>
        <w:ind w:left="1130" w:hanging="420"/>
      </w:pPr>
      <w:rPr>
        <w:rFonts w:ascii="宋体" w:hAnsi="宋体" w:eastAsia="宋体" w:cs="宋体"/>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49">
    <w:nsid w:val="6E230785"/>
    <w:multiLevelType w:val="multilevel"/>
    <w:tmpl w:val="6E230785"/>
    <w:lvl w:ilvl="0" w:tentative="0">
      <w:start w:val="1"/>
      <w:numFmt w:val="bullet"/>
      <w:pStyle w:val="54"/>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0">
    <w:nsid w:val="7B302A4E"/>
    <w:multiLevelType w:val="multilevel"/>
    <w:tmpl w:val="7B302A4E"/>
    <w:lvl w:ilvl="0" w:tentative="0">
      <w:start w:val="1"/>
      <w:numFmt w:val="decimalEnclosedCircle"/>
      <w:lvlText w:val="%1"/>
      <w:lvlJc w:val="left"/>
      <w:pPr>
        <w:ind w:left="778" w:hanging="360"/>
      </w:pPr>
      <w:rPr>
        <w:rFonts w:hint="default"/>
      </w:rPr>
    </w:lvl>
    <w:lvl w:ilvl="1" w:tentative="0">
      <w:start w:val="1"/>
      <w:numFmt w:val="lowerLetter"/>
      <w:lvlText w:val="%2)"/>
      <w:lvlJc w:val="left"/>
      <w:pPr>
        <w:ind w:left="1258" w:hanging="420"/>
      </w:pPr>
    </w:lvl>
    <w:lvl w:ilvl="2" w:tentative="0">
      <w:start w:val="1"/>
      <w:numFmt w:val="lowerRoman"/>
      <w:lvlText w:val="%3."/>
      <w:lvlJc w:val="right"/>
      <w:pPr>
        <w:ind w:left="1678" w:hanging="420"/>
      </w:pPr>
    </w:lvl>
    <w:lvl w:ilvl="3" w:tentative="0">
      <w:start w:val="1"/>
      <w:numFmt w:val="decimal"/>
      <w:lvlText w:val="%4."/>
      <w:lvlJc w:val="left"/>
      <w:pPr>
        <w:ind w:left="2098" w:hanging="420"/>
      </w:pPr>
    </w:lvl>
    <w:lvl w:ilvl="4" w:tentative="0">
      <w:start w:val="1"/>
      <w:numFmt w:val="lowerLetter"/>
      <w:lvlText w:val="%5)"/>
      <w:lvlJc w:val="left"/>
      <w:pPr>
        <w:ind w:left="2518" w:hanging="420"/>
      </w:pPr>
    </w:lvl>
    <w:lvl w:ilvl="5" w:tentative="0">
      <w:start w:val="1"/>
      <w:numFmt w:val="lowerRoman"/>
      <w:lvlText w:val="%6."/>
      <w:lvlJc w:val="right"/>
      <w:pPr>
        <w:ind w:left="2938" w:hanging="420"/>
      </w:pPr>
    </w:lvl>
    <w:lvl w:ilvl="6" w:tentative="0">
      <w:start w:val="1"/>
      <w:numFmt w:val="decimal"/>
      <w:lvlText w:val="%7."/>
      <w:lvlJc w:val="left"/>
      <w:pPr>
        <w:ind w:left="3358" w:hanging="420"/>
      </w:pPr>
    </w:lvl>
    <w:lvl w:ilvl="7" w:tentative="0">
      <w:start w:val="1"/>
      <w:numFmt w:val="lowerLetter"/>
      <w:lvlText w:val="%8)"/>
      <w:lvlJc w:val="left"/>
      <w:pPr>
        <w:ind w:left="3778" w:hanging="420"/>
      </w:pPr>
    </w:lvl>
    <w:lvl w:ilvl="8" w:tentative="0">
      <w:start w:val="1"/>
      <w:numFmt w:val="lowerRoman"/>
      <w:lvlText w:val="%9."/>
      <w:lvlJc w:val="right"/>
      <w:pPr>
        <w:ind w:left="4198" w:hanging="420"/>
      </w:pPr>
    </w:lvl>
  </w:abstractNum>
  <w:abstractNum w:abstractNumId="51">
    <w:nsid w:val="7C4E223D"/>
    <w:multiLevelType w:val="multilevel"/>
    <w:tmpl w:val="7C4E223D"/>
    <w:lvl w:ilvl="0" w:tentative="0">
      <w:start w:val="1"/>
      <w:numFmt w:val="decimal"/>
      <w:suff w:val="space"/>
      <w:lvlText w:val="%1、"/>
      <w:lvlJc w:val="left"/>
      <w:pPr>
        <w:ind w:left="782" w:hanging="360"/>
      </w:pPr>
      <w:rPr>
        <w:rFonts w:hint="eastAsia" w:ascii="宋体" w:hAnsi="宋体" w:eastAsia="宋体"/>
        <w:b w:val="0"/>
      </w:rPr>
    </w:lvl>
    <w:lvl w:ilvl="1" w:tentative="0">
      <w:start w:val="1"/>
      <w:numFmt w:val="decimal"/>
      <w:lvlText w:val="%2）"/>
      <w:lvlJc w:val="left"/>
      <w:pPr>
        <w:ind w:left="1200" w:hanging="36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12"/>
  </w:num>
  <w:num w:numId="5">
    <w:abstractNumId w:val="6"/>
  </w:num>
  <w:num w:numId="6">
    <w:abstractNumId w:val="34"/>
  </w:num>
  <w:num w:numId="7">
    <w:abstractNumId w:val="15"/>
  </w:num>
  <w:num w:numId="8">
    <w:abstractNumId w:val="3"/>
  </w:num>
  <w:num w:numId="9">
    <w:abstractNumId w:val="50"/>
  </w:num>
  <w:num w:numId="10">
    <w:abstractNumId w:val="36"/>
  </w:num>
  <w:num w:numId="11">
    <w:abstractNumId w:val="16"/>
  </w:num>
  <w:num w:numId="12">
    <w:abstractNumId w:val="46"/>
  </w:num>
  <w:num w:numId="13">
    <w:abstractNumId w:val="4"/>
  </w:num>
  <w:num w:numId="14">
    <w:abstractNumId w:val="35"/>
  </w:num>
  <w:num w:numId="15">
    <w:abstractNumId w:val="1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9"/>
  </w:num>
  <w:num w:numId="48">
    <w:abstractNumId w:val="13"/>
  </w:num>
  <w:num w:numId="49">
    <w:abstractNumId w:val="27"/>
  </w:num>
  <w:num w:numId="50">
    <w:abstractNumId w:val="26"/>
  </w:num>
  <w:num w:numId="51">
    <w:abstractNumId w:val="2"/>
  </w:num>
  <w:num w:numId="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796"/>
    <w:rsid w:val="00002CC4"/>
    <w:rsid w:val="00004DE9"/>
    <w:rsid w:val="00005E82"/>
    <w:rsid w:val="000106AD"/>
    <w:rsid w:val="0001241F"/>
    <w:rsid w:val="000124F0"/>
    <w:rsid w:val="00013246"/>
    <w:rsid w:val="00013E56"/>
    <w:rsid w:val="00014933"/>
    <w:rsid w:val="00015A77"/>
    <w:rsid w:val="00022EC6"/>
    <w:rsid w:val="0002662E"/>
    <w:rsid w:val="00026A4D"/>
    <w:rsid w:val="00030D37"/>
    <w:rsid w:val="00031F6B"/>
    <w:rsid w:val="000349E3"/>
    <w:rsid w:val="000360C5"/>
    <w:rsid w:val="000411B2"/>
    <w:rsid w:val="0004133A"/>
    <w:rsid w:val="00041800"/>
    <w:rsid w:val="00041FA7"/>
    <w:rsid w:val="000420E1"/>
    <w:rsid w:val="000445AA"/>
    <w:rsid w:val="00044FE5"/>
    <w:rsid w:val="0004555F"/>
    <w:rsid w:val="00046B61"/>
    <w:rsid w:val="00050E3A"/>
    <w:rsid w:val="00051B82"/>
    <w:rsid w:val="0005399D"/>
    <w:rsid w:val="000577B2"/>
    <w:rsid w:val="00062BCA"/>
    <w:rsid w:val="00065727"/>
    <w:rsid w:val="000717A2"/>
    <w:rsid w:val="0007288A"/>
    <w:rsid w:val="00074817"/>
    <w:rsid w:val="00074D13"/>
    <w:rsid w:val="000765C3"/>
    <w:rsid w:val="00081A55"/>
    <w:rsid w:val="00084268"/>
    <w:rsid w:val="00085004"/>
    <w:rsid w:val="00085C78"/>
    <w:rsid w:val="00087050"/>
    <w:rsid w:val="000931B6"/>
    <w:rsid w:val="00094BB4"/>
    <w:rsid w:val="00094D88"/>
    <w:rsid w:val="00095217"/>
    <w:rsid w:val="00095FC5"/>
    <w:rsid w:val="00097037"/>
    <w:rsid w:val="000975A3"/>
    <w:rsid w:val="000A5435"/>
    <w:rsid w:val="000A5933"/>
    <w:rsid w:val="000A5D92"/>
    <w:rsid w:val="000A708A"/>
    <w:rsid w:val="000B0614"/>
    <w:rsid w:val="000B1B16"/>
    <w:rsid w:val="000B2B24"/>
    <w:rsid w:val="000B5B38"/>
    <w:rsid w:val="000B5E87"/>
    <w:rsid w:val="000C0EDA"/>
    <w:rsid w:val="000C5350"/>
    <w:rsid w:val="000C5519"/>
    <w:rsid w:val="000C6524"/>
    <w:rsid w:val="000C7E21"/>
    <w:rsid w:val="000D0CB3"/>
    <w:rsid w:val="000D1516"/>
    <w:rsid w:val="000D3C17"/>
    <w:rsid w:val="000D548F"/>
    <w:rsid w:val="000D5813"/>
    <w:rsid w:val="000D5BA4"/>
    <w:rsid w:val="000D5CF9"/>
    <w:rsid w:val="000E1634"/>
    <w:rsid w:val="000E2671"/>
    <w:rsid w:val="000E279C"/>
    <w:rsid w:val="000E2A94"/>
    <w:rsid w:val="000E6F5D"/>
    <w:rsid w:val="000F2079"/>
    <w:rsid w:val="000F7A95"/>
    <w:rsid w:val="001008EB"/>
    <w:rsid w:val="00101CBF"/>
    <w:rsid w:val="00104D30"/>
    <w:rsid w:val="00104EC1"/>
    <w:rsid w:val="00105E5E"/>
    <w:rsid w:val="00106ECB"/>
    <w:rsid w:val="00110961"/>
    <w:rsid w:val="00111DE8"/>
    <w:rsid w:val="00113FF6"/>
    <w:rsid w:val="00114AEF"/>
    <w:rsid w:val="00115436"/>
    <w:rsid w:val="00116204"/>
    <w:rsid w:val="00116242"/>
    <w:rsid w:val="001173C7"/>
    <w:rsid w:val="00121499"/>
    <w:rsid w:val="00122E9D"/>
    <w:rsid w:val="0012341B"/>
    <w:rsid w:val="001236C1"/>
    <w:rsid w:val="001307A1"/>
    <w:rsid w:val="00130E47"/>
    <w:rsid w:val="001315A6"/>
    <w:rsid w:val="001317D2"/>
    <w:rsid w:val="00131FCE"/>
    <w:rsid w:val="0013293C"/>
    <w:rsid w:val="00136B7C"/>
    <w:rsid w:val="001403BF"/>
    <w:rsid w:val="001409CD"/>
    <w:rsid w:val="00140B12"/>
    <w:rsid w:val="00141AA8"/>
    <w:rsid w:val="00142BE0"/>
    <w:rsid w:val="00143438"/>
    <w:rsid w:val="0014392F"/>
    <w:rsid w:val="001446B7"/>
    <w:rsid w:val="0014534E"/>
    <w:rsid w:val="0014552D"/>
    <w:rsid w:val="00161C04"/>
    <w:rsid w:val="00162A0C"/>
    <w:rsid w:val="0016367E"/>
    <w:rsid w:val="001647F2"/>
    <w:rsid w:val="0016666F"/>
    <w:rsid w:val="00166700"/>
    <w:rsid w:val="001669BE"/>
    <w:rsid w:val="00170FB8"/>
    <w:rsid w:val="00172A74"/>
    <w:rsid w:val="00172A9E"/>
    <w:rsid w:val="00173E15"/>
    <w:rsid w:val="00174796"/>
    <w:rsid w:val="001846AC"/>
    <w:rsid w:val="001924CB"/>
    <w:rsid w:val="0019353D"/>
    <w:rsid w:val="00193D99"/>
    <w:rsid w:val="00193F78"/>
    <w:rsid w:val="001940CC"/>
    <w:rsid w:val="00196C19"/>
    <w:rsid w:val="001A04DA"/>
    <w:rsid w:val="001A0650"/>
    <w:rsid w:val="001A11BC"/>
    <w:rsid w:val="001A25EE"/>
    <w:rsid w:val="001A41E2"/>
    <w:rsid w:val="001A42F5"/>
    <w:rsid w:val="001A46B4"/>
    <w:rsid w:val="001B0142"/>
    <w:rsid w:val="001B2D35"/>
    <w:rsid w:val="001B3256"/>
    <w:rsid w:val="001B37E4"/>
    <w:rsid w:val="001B6BB7"/>
    <w:rsid w:val="001B6E33"/>
    <w:rsid w:val="001B7A52"/>
    <w:rsid w:val="001C1777"/>
    <w:rsid w:val="001C43E1"/>
    <w:rsid w:val="001D1CC4"/>
    <w:rsid w:val="001D2997"/>
    <w:rsid w:val="001D3D82"/>
    <w:rsid w:val="001D4929"/>
    <w:rsid w:val="001D5D1C"/>
    <w:rsid w:val="001D6334"/>
    <w:rsid w:val="001D73B0"/>
    <w:rsid w:val="001D7D7F"/>
    <w:rsid w:val="001E1FF9"/>
    <w:rsid w:val="001E5A0D"/>
    <w:rsid w:val="001E5ACB"/>
    <w:rsid w:val="001F186C"/>
    <w:rsid w:val="001F4BD5"/>
    <w:rsid w:val="001F7A58"/>
    <w:rsid w:val="00200199"/>
    <w:rsid w:val="00200857"/>
    <w:rsid w:val="00201327"/>
    <w:rsid w:val="002023A4"/>
    <w:rsid w:val="002064E2"/>
    <w:rsid w:val="00211473"/>
    <w:rsid w:val="0021193C"/>
    <w:rsid w:val="002122F5"/>
    <w:rsid w:val="002151F9"/>
    <w:rsid w:val="00216F0B"/>
    <w:rsid w:val="00221483"/>
    <w:rsid w:val="00221B50"/>
    <w:rsid w:val="002233CD"/>
    <w:rsid w:val="00223B4A"/>
    <w:rsid w:val="002264C7"/>
    <w:rsid w:val="00226747"/>
    <w:rsid w:val="00227426"/>
    <w:rsid w:val="002305D6"/>
    <w:rsid w:val="0023616F"/>
    <w:rsid w:val="00236D4E"/>
    <w:rsid w:val="00241192"/>
    <w:rsid w:val="00241218"/>
    <w:rsid w:val="00243657"/>
    <w:rsid w:val="002442CB"/>
    <w:rsid w:val="002444A9"/>
    <w:rsid w:val="00246826"/>
    <w:rsid w:val="00247397"/>
    <w:rsid w:val="00251735"/>
    <w:rsid w:val="00253737"/>
    <w:rsid w:val="00260B4C"/>
    <w:rsid w:val="0026335D"/>
    <w:rsid w:val="0026340C"/>
    <w:rsid w:val="00264C37"/>
    <w:rsid w:val="00265C3E"/>
    <w:rsid w:val="00266BDF"/>
    <w:rsid w:val="00267000"/>
    <w:rsid w:val="002757EE"/>
    <w:rsid w:val="00282A2C"/>
    <w:rsid w:val="00282E5D"/>
    <w:rsid w:val="00283BCE"/>
    <w:rsid w:val="00284DB9"/>
    <w:rsid w:val="00287043"/>
    <w:rsid w:val="0029152F"/>
    <w:rsid w:val="00291BC5"/>
    <w:rsid w:val="00293430"/>
    <w:rsid w:val="00293D92"/>
    <w:rsid w:val="002946AF"/>
    <w:rsid w:val="0029608C"/>
    <w:rsid w:val="002A24D0"/>
    <w:rsid w:val="002A301C"/>
    <w:rsid w:val="002A4253"/>
    <w:rsid w:val="002A4315"/>
    <w:rsid w:val="002A503D"/>
    <w:rsid w:val="002A5601"/>
    <w:rsid w:val="002B02EE"/>
    <w:rsid w:val="002B1A9A"/>
    <w:rsid w:val="002B22A5"/>
    <w:rsid w:val="002B2FFF"/>
    <w:rsid w:val="002B5737"/>
    <w:rsid w:val="002B74D6"/>
    <w:rsid w:val="002C1195"/>
    <w:rsid w:val="002C2BAC"/>
    <w:rsid w:val="002C35D1"/>
    <w:rsid w:val="002C515F"/>
    <w:rsid w:val="002C5C50"/>
    <w:rsid w:val="002D23F3"/>
    <w:rsid w:val="002D5047"/>
    <w:rsid w:val="002D55C0"/>
    <w:rsid w:val="002E4BF9"/>
    <w:rsid w:val="002E6902"/>
    <w:rsid w:val="002E6E28"/>
    <w:rsid w:val="002E78C7"/>
    <w:rsid w:val="002F18A3"/>
    <w:rsid w:val="002F191C"/>
    <w:rsid w:val="002F5B47"/>
    <w:rsid w:val="002F773E"/>
    <w:rsid w:val="00300D40"/>
    <w:rsid w:val="00302758"/>
    <w:rsid w:val="0030448C"/>
    <w:rsid w:val="00306449"/>
    <w:rsid w:val="00306E89"/>
    <w:rsid w:val="003101CD"/>
    <w:rsid w:val="00311B28"/>
    <w:rsid w:val="00312B85"/>
    <w:rsid w:val="00315668"/>
    <w:rsid w:val="00316121"/>
    <w:rsid w:val="00316321"/>
    <w:rsid w:val="00317963"/>
    <w:rsid w:val="00317A5A"/>
    <w:rsid w:val="00323F3C"/>
    <w:rsid w:val="0032769D"/>
    <w:rsid w:val="00331505"/>
    <w:rsid w:val="0034291D"/>
    <w:rsid w:val="003435B3"/>
    <w:rsid w:val="00351AFB"/>
    <w:rsid w:val="0035209B"/>
    <w:rsid w:val="003569B0"/>
    <w:rsid w:val="003574C8"/>
    <w:rsid w:val="00360045"/>
    <w:rsid w:val="00361367"/>
    <w:rsid w:val="00361BDD"/>
    <w:rsid w:val="00361C65"/>
    <w:rsid w:val="0036411D"/>
    <w:rsid w:val="00366DCE"/>
    <w:rsid w:val="00372FF7"/>
    <w:rsid w:val="00373352"/>
    <w:rsid w:val="003739C2"/>
    <w:rsid w:val="003741AB"/>
    <w:rsid w:val="003767B5"/>
    <w:rsid w:val="003776FC"/>
    <w:rsid w:val="003808F7"/>
    <w:rsid w:val="003809C7"/>
    <w:rsid w:val="00382BF8"/>
    <w:rsid w:val="00385A18"/>
    <w:rsid w:val="00386CEB"/>
    <w:rsid w:val="00390198"/>
    <w:rsid w:val="00391BC6"/>
    <w:rsid w:val="0039346A"/>
    <w:rsid w:val="00396531"/>
    <w:rsid w:val="00396E3F"/>
    <w:rsid w:val="003A0847"/>
    <w:rsid w:val="003A18DC"/>
    <w:rsid w:val="003A2252"/>
    <w:rsid w:val="003A2968"/>
    <w:rsid w:val="003A6798"/>
    <w:rsid w:val="003B1A54"/>
    <w:rsid w:val="003B5DE6"/>
    <w:rsid w:val="003B61F6"/>
    <w:rsid w:val="003B65CD"/>
    <w:rsid w:val="003C16BF"/>
    <w:rsid w:val="003C22F3"/>
    <w:rsid w:val="003C2521"/>
    <w:rsid w:val="003C25EE"/>
    <w:rsid w:val="003C2A45"/>
    <w:rsid w:val="003C3F9E"/>
    <w:rsid w:val="003C700C"/>
    <w:rsid w:val="003D1514"/>
    <w:rsid w:val="003D66A5"/>
    <w:rsid w:val="003E25A1"/>
    <w:rsid w:val="003E275D"/>
    <w:rsid w:val="003E296F"/>
    <w:rsid w:val="003E2DBF"/>
    <w:rsid w:val="003E7CCC"/>
    <w:rsid w:val="003F1124"/>
    <w:rsid w:val="003F1A4B"/>
    <w:rsid w:val="003F279F"/>
    <w:rsid w:val="003F3638"/>
    <w:rsid w:val="003F3F85"/>
    <w:rsid w:val="003F6156"/>
    <w:rsid w:val="003F718B"/>
    <w:rsid w:val="004004EB"/>
    <w:rsid w:val="00400F50"/>
    <w:rsid w:val="004035EA"/>
    <w:rsid w:val="004069BE"/>
    <w:rsid w:val="00406E45"/>
    <w:rsid w:val="00407F06"/>
    <w:rsid w:val="004206C0"/>
    <w:rsid w:val="0042222E"/>
    <w:rsid w:val="00430ECB"/>
    <w:rsid w:val="004312BD"/>
    <w:rsid w:val="00433696"/>
    <w:rsid w:val="0043431D"/>
    <w:rsid w:val="00435FA9"/>
    <w:rsid w:val="00442FCC"/>
    <w:rsid w:val="004436E3"/>
    <w:rsid w:val="004442A0"/>
    <w:rsid w:val="0044627F"/>
    <w:rsid w:val="00451363"/>
    <w:rsid w:val="00452806"/>
    <w:rsid w:val="004567F8"/>
    <w:rsid w:val="004579A6"/>
    <w:rsid w:val="004610E2"/>
    <w:rsid w:val="00461A6D"/>
    <w:rsid w:val="004649FC"/>
    <w:rsid w:val="00475157"/>
    <w:rsid w:val="00477763"/>
    <w:rsid w:val="00480D20"/>
    <w:rsid w:val="004812A7"/>
    <w:rsid w:val="00484E91"/>
    <w:rsid w:val="00484F64"/>
    <w:rsid w:val="00486753"/>
    <w:rsid w:val="0049295D"/>
    <w:rsid w:val="00493A8F"/>
    <w:rsid w:val="00494D8C"/>
    <w:rsid w:val="00495ED4"/>
    <w:rsid w:val="004A152E"/>
    <w:rsid w:val="004A1E9E"/>
    <w:rsid w:val="004A22D6"/>
    <w:rsid w:val="004A5A33"/>
    <w:rsid w:val="004A5F51"/>
    <w:rsid w:val="004A620C"/>
    <w:rsid w:val="004A636A"/>
    <w:rsid w:val="004B09B2"/>
    <w:rsid w:val="004B1C39"/>
    <w:rsid w:val="004B2F28"/>
    <w:rsid w:val="004B3A1E"/>
    <w:rsid w:val="004B582D"/>
    <w:rsid w:val="004B6838"/>
    <w:rsid w:val="004C1B71"/>
    <w:rsid w:val="004C38A1"/>
    <w:rsid w:val="004C3CEA"/>
    <w:rsid w:val="004C5F6B"/>
    <w:rsid w:val="004C6567"/>
    <w:rsid w:val="004C770B"/>
    <w:rsid w:val="004C7E21"/>
    <w:rsid w:val="004D086B"/>
    <w:rsid w:val="004D54F9"/>
    <w:rsid w:val="004D63D9"/>
    <w:rsid w:val="004D72A5"/>
    <w:rsid w:val="004D7472"/>
    <w:rsid w:val="004E305E"/>
    <w:rsid w:val="004E6859"/>
    <w:rsid w:val="004E6DD4"/>
    <w:rsid w:val="004F0E5D"/>
    <w:rsid w:val="004F2CA3"/>
    <w:rsid w:val="004F448B"/>
    <w:rsid w:val="004F75D1"/>
    <w:rsid w:val="00501713"/>
    <w:rsid w:val="0050197A"/>
    <w:rsid w:val="00503702"/>
    <w:rsid w:val="00504729"/>
    <w:rsid w:val="00504999"/>
    <w:rsid w:val="0050539A"/>
    <w:rsid w:val="005062CC"/>
    <w:rsid w:val="005073D4"/>
    <w:rsid w:val="00507ADC"/>
    <w:rsid w:val="005127A8"/>
    <w:rsid w:val="00512E56"/>
    <w:rsid w:val="00514ED1"/>
    <w:rsid w:val="005153C1"/>
    <w:rsid w:val="00520289"/>
    <w:rsid w:val="005217AE"/>
    <w:rsid w:val="005247E7"/>
    <w:rsid w:val="00531A3E"/>
    <w:rsid w:val="005369C3"/>
    <w:rsid w:val="00536C2B"/>
    <w:rsid w:val="0054149A"/>
    <w:rsid w:val="00541685"/>
    <w:rsid w:val="00546394"/>
    <w:rsid w:val="00550359"/>
    <w:rsid w:val="00552C63"/>
    <w:rsid w:val="0055335F"/>
    <w:rsid w:val="005541DF"/>
    <w:rsid w:val="00554954"/>
    <w:rsid w:val="005553C1"/>
    <w:rsid w:val="00565BC6"/>
    <w:rsid w:val="00571099"/>
    <w:rsid w:val="00571A4D"/>
    <w:rsid w:val="00573F22"/>
    <w:rsid w:val="0057459B"/>
    <w:rsid w:val="00576FBA"/>
    <w:rsid w:val="00582067"/>
    <w:rsid w:val="0058330C"/>
    <w:rsid w:val="00586412"/>
    <w:rsid w:val="005877F1"/>
    <w:rsid w:val="005908E8"/>
    <w:rsid w:val="00591C60"/>
    <w:rsid w:val="00593D5E"/>
    <w:rsid w:val="005A05EA"/>
    <w:rsid w:val="005A4C5D"/>
    <w:rsid w:val="005A7C6C"/>
    <w:rsid w:val="005B029F"/>
    <w:rsid w:val="005B11A3"/>
    <w:rsid w:val="005B57D1"/>
    <w:rsid w:val="005B6499"/>
    <w:rsid w:val="005B6BA6"/>
    <w:rsid w:val="005C03AB"/>
    <w:rsid w:val="005C15E3"/>
    <w:rsid w:val="005C7A34"/>
    <w:rsid w:val="005D0DC5"/>
    <w:rsid w:val="005D2042"/>
    <w:rsid w:val="005D31CB"/>
    <w:rsid w:val="005D584D"/>
    <w:rsid w:val="005D6675"/>
    <w:rsid w:val="005E20EA"/>
    <w:rsid w:val="005E5764"/>
    <w:rsid w:val="005F2554"/>
    <w:rsid w:val="005F3DC5"/>
    <w:rsid w:val="005F685C"/>
    <w:rsid w:val="006002D6"/>
    <w:rsid w:val="00601DE0"/>
    <w:rsid w:val="00601EC5"/>
    <w:rsid w:val="00604282"/>
    <w:rsid w:val="00606E53"/>
    <w:rsid w:val="0061050C"/>
    <w:rsid w:val="00610E06"/>
    <w:rsid w:val="00610F69"/>
    <w:rsid w:val="0061465B"/>
    <w:rsid w:val="006173CF"/>
    <w:rsid w:val="006175F1"/>
    <w:rsid w:val="00617A1E"/>
    <w:rsid w:val="00621E7B"/>
    <w:rsid w:val="006225DC"/>
    <w:rsid w:val="0062432E"/>
    <w:rsid w:val="00630371"/>
    <w:rsid w:val="006309EB"/>
    <w:rsid w:val="00630BBA"/>
    <w:rsid w:val="00634C39"/>
    <w:rsid w:val="0063511F"/>
    <w:rsid w:val="00636CBC"/>
    <w:rsid w:val="0064080C"/>
    <w:rsid w:val="00640B19"/>
    <w:rsid w:val="006415FD"/>
    <w:rsid w:val="00644AEA"/>
    <w:rsid w:val="00644FC7"/>
    <w:rsid w:val="00645549"/>
    <w:rsid w:val="00647C31"/>
    <w:rsid w:val="00650996"/>
    <w:rsid w:val="00650B3D"/>
    <w:rsid w:val="00652856"/>
    <w:rsid w:val="00652BCE"/>
    <w:rsid w:val="00656A79"/>
    <w:rsid w:val="00667580"/>
    <w:rsid w:val="00674C02"/>
    <w:rsid w:val="00676305"/>
    <w:rsid w:val="0067694D"/>
    <w:rsid w:val="00677ECA"/>
    <w:rsid w:val="006802C2"/>
    <w:rsid w:val="00681207"/>
    <w:rsid w:val="00682C14"/>
    <w:rsid w:val="006842C8"/>
    <w:rsid w:val="00684376"/>
    <w:rsid w:val="00684F11"/>
    <w:rsid w:val="0068556E"/>
    <w:rsid w:val="00685A80"/>
    <w:rsid w:val="00690942"/>
    <w:rsid w:val="006935D2"/>
    <w:rsid w:val="00695187"/>
    <w:rsid w:val="006979A5"/>
    <w:rsid w:val="006A1A07"/>
    <w:rsid w:val="006A3CB9"/>
    <w:rsid w:val="006A5765"/>
    <w:rsid w:val="006A6933"/>
    <w:rsid w:val="006A6EE1"/>
    <w:rsid w:val="006B0641"/>
    <w:rsid w:val="006B5162"/>
    <w:rsid w:val="006B746F"/>
    <w:rsid w:val="006C08D4"/>
    <w:rsid w:val="006C1BCF"/>
    <w:rsid w:val="006C5491"/>
    <w:rsid w:val="006C636B"/>
    <w:rsid w:val="006C6AA1"/>
    <w:rsid w:val="006D415B"/>
    <w:rsid w:val="006D4BA5"/>
    <w:rsid w:val="006D58A2"/>
    <w:rsid w:val="006D6524"/>
    <w:rsid w:val="006D6B9D"/>
    <w:rsid w:val="006D6FAE"/>
    <w:rsid w:val="006E05D5"/>
    <w:rsid w:val="006E2A12"/>
    <w:rsid w:val="006E43AF"/>
    <w:rsid w:val="006E75D7"/>
    <w:rsid w:val="006E7D02"/>
    <w:rsid w:val="006F04B3"/>
    <w:rsid w:val="006F157A"/>
    <w:rsid w:val="006F3D1F"/>
    <w:rsid w:val="006F5BCA"/>
    <w:rsid w:val="006F70B5"/>
    <w:rsid w:val="00702F2F"/>
    <w:rsid w:val="00705A75"/>
    <w:rsid w:val="00706FC1"/>
    <w:rsid w:val="007076E7"/>
    <w:rsid w:val="00710A69"/>
    <w:rsid w:val="007125A3"/>
    <w:rsid w:val="00713F47"/>
    <w:rsid w:val="0071509F"/>
    <w:rsid w:val="00715CE8"/>
    <w:rsid w:val="00720DA0"/>
    <w:rsid w:val="00721FD2"/>
    <w:rsid w:val="00722100"/>
    <w:rsid w:val="00722A3B"/>
    <w:rsid w:val="00725586"/>
    <w:rsid w:val="00726B6D"/>
    <w:rsid w:val="00731CE6"/>
    <w:rsid w:val="0073344C"/>
    <w:rsid w:val="00735157"/>
    <w:rsid w:val="007367C3"/>
    <w:rsid w:val="00737E5D"/>
    <w:rsid w:val="00741212"/>
    <w:rsid w:val="00747E75"/>
    <w:rsid w:val="00750603"/>
    <w:rsid w:val="0075251D"/>
    <w:rsid w:val="00753EEA"/>
    <w:rsid w:val="007540A7"/>
    <w:rsid w:val="00754BBF"/>
    <w:rsid w:val="00754CBE"/>
    <w:rsid w:val="00755201"/>
    <w:rsid w:val="00756F6F"/>
    <w:rsid w:val="00760DF0"/>
    <w:rsid w:val="00761192"/>
    <w:rsid w:val="007642D7"/>
    <w:rsid w:val="00767B5D"/>
    <w:rsid w:val="007738F4"/>
    <w:rsid w:val="00774850"/>
    <w:rsid w:val="00775042"/>
    <w:rsid w:val="00780176"/>
    <w:rsid w:val="007817AE"/>
    <w:rsid w:val="0078200F"/>
    <w:rsid w:val="00784A2F"/>
    <w:rsid w:val="00785121"/>
    <w:rsid w:val="00786A0A"/>
    <w:rsid w:val="00790446"/>
    <w:rsid w:val="00793344"/>
    <w:rsid w:val="0079461E"/>
    <w:rsid w:val="00796045"/>
    <w:rsid w:val="007A0B4B"/>
    <w:rsid w:val="007A78D1"/>
    <w:rsid w:val="007B213B"/>
    <w:rsid w:val="007B2C51"/>
    <w:rsid w:val="007B37E8"/>
    <w:rsid w:val="007B550A"/>
    <w:rsid w:val="007B65F2"/>
    <w:rsid w:val="007B7973"/>
    <w:rsid w:val="007C1767"/>
    <w:rsid w:val="007C1B72"/>
    <w:rsid w:val="007C5A9E"/>
    <w:rsid w:val="007C70C7"/>
    <w:rsid w:val="007D00BE"/>
    <w:rsid w:val="007D16E9"/>
    <w:rsid w:val="007D41AB"/>
    <w:rsid w:val="007D531D"/>
    <w:rsid w:val="007E1757"/>
    <w:rsid w:val="007E2D16"/>
    <w:rsid w:val="007E30C9"/>
    <w:rsid w:val="007E389B"/>
    <w:rsid w:val="007E57F4"/>
    <w:rsid w:val="007F14CF"/>
    <w:rsid w:val="007F25B5"/>
    <w:rsid w:val="007F4E8C"/>
    <w:rsid w:val="007F52F5"/>
    <w:rsid w:val="007F53F9"/>
    <w:rsid w:val="007F5503"/>
    <w:rsid w:val="00802752"/>
    <w:rsid w:val="00802987"/>
    <w:rsid w:val="00802E7D"/>
    <w:rsid w:val="00803DF7"/>
    <w:rsid w:val="00804DA6"/>
    <w:rsid w:val="0080590C"/>
    <w:rsid w:val="00810C97"/>
    <w:rsid w:val="008126E1"/>
    <w:rsid w:val="0081550B"/>
    <w:rsid w:val="0081558F"/>
    <w:rsid w:val="00821405"/>
    <w:rsid w:val="0082630C"/>
    <w:rsid w:val="0082686E"/>
    <w:rsid w:val="00830551"/>
    <w:rsid w:val="0083169F"/>
    <w:rsid w:val="0083242A"/>
    <w:rsid w:val="008340B3"/>
    <w:rsid w:val="00834240"/>
    <w:rsid w:val="008348F9"/>
    <w:rsid w:val="00835680"/>
    <w:rsid w:val="00836144"/>
    <w:rsid w:val="008408F5"/>
    <w:rsid w:val="00841FC9"/>
    <w:rsid w:val="008455F1"/>
    <w:rsid w:val="00846A16"/>
    <w:rsid w:val="00847C4D"/>
    <w:rsid w:val="0085067F"/>
    <w:rsid w:val="00851FAC"/>
    <w:rsid w:val="00852386"/>
    <w:rsid w:val="0085461F"/>
    <w:rsid w:val="0085522A"/>
    <w:rsid w:val="00855D5C"/>
    <w:rsid w:val="008609D4"/>
    <w:rsid w:val="0086135A"/>
    <w:rsid w:val="008613D3"/>
    <w:rsid w:val="008614FD"/>
    <w:rsid w:val="00863683"/>
    <w:rsid w:val="008638BC"/>
    <w:rsid w:val="00864902"/>
    <w:rsid w:val="00865095"/>
    <w:rsid w:val="008674AE"/>
    <w:rsid w:val="0087207F"/>
    <w:rsid w:val="00873488"/>
    <w:rsid w:val="00873F25"/>
    <w:rsid w:val="008746EE"/>
    <w:rsid w:val="008778C6"/>
    <w:rsid w:val="00884040"/>
    <w:rsid w:val="00890A74"/>
    <w:rsid w:val="008916DB"/>
    <w:rsid w:val="0089253D"/>
    <w:rsid w:val="00892F28"/>
    <w:rsid w:val="00893A90"/>
    <w:rsid w:val="00894589"/>
    <w:rsid w:val="008946AC"/>
    <w:rsid w:val="00894F85"/>
    <w:rsid w:val="008955B8"/>
    <w:rsid w:val="00896ABE"/>
    <w:rsid w:val="008A139E"/>
    <w:rsid w:val="008A1D51"/>
    <w:rsid w:val="008A5289"/>
    <w:rsid w:val="008A6175"/>
    <w:rsid w:val="008A6CE7"/>
    <w:rsid w:val="008B1783"/>
    <w:rsid w:val="008B2462"/>
    <w:rsid w:val="008B3810"/>
    <w:rsid w:val="008B3DFE"/>
    <w:rsid w:val="008B4508"/>
    <w:rsid w:val="008B4792"/>
    <w:rsid w:val="008B7AB8"/>
    <w:rsid w:val="008C1AE0"/>
    <w:rsid w:val="008C4B1F"/>
    <w:rsid w:val="008C4F0D"/>
    <w:rsid w:val="008C4FD4"/>
    <w:rsid w:val="008C54B1"/>
    <w:rsid w:val="008C5D95"/>
    <w:rsid w:val="008C5DE8"/>
    <w:rsid w:val="008C708E"/>
    <w:rsid w:val="008D2EB0"/>
    <w:rsid w:val="008D556C"/>
    <w:rsid w:val="008D6FCC"/>
    <w:rsid w:val="008D7FE5"/>
    <w:rsid w:val="008E1E95"/>
    <w:rsid w:val="008E3304"/>
    <w:rsid w:val="008F03EB"/>
    <w:rsid w:val="008F122C"/>
    <w:rsid w:val="008F331C"/>
    <w:rsid w:val="008F5EC0"/>
    <w:rsid w:val="008F68B7"/>
    <w:rsid w:val="008F6E6F"/>
    <w:rsid w:val="008F6EF7"/>
    <w:rsid w:val="008F7765"/>
    <w:rsid w:val="008F7948"/>
    <w:rsid w:val="00901224"/>
    <w:rsid w:val="009028D7"/>
    <w:rsid w:val="00904E73"/>
    <w:rsid w:val="009053BB"/>
    <w:rsid w:val="00905B19"/>
    <w:rsid w:val="00905BB8"/>
    <w:rsid w:val="00915D25"/>
    <w:rsid w:val="00924D40"/>
    <w:rsid w:val="009257A2"/>
    <w:rsid w:val="009264C5"/>
    <w:rsid w:val="009271B8"/>
    <w:rsid w:val="00927C01"/>
    <w:rsid w:val="00927D10"/>
    <w:rsid w:val="009336C4"/>
    <w:rsid w:val="00933E69"/>
    <w:rsid w:val="009341B7"/>
    <w:rsid w:val="00936241"/>
    <w:rsid w:val="009362FC"/>
    <w:rsid w:val="00936BFA"/>
    <w:rsid w:val="00940BCD"/>
    <w:rsid w:val="00942357"/>
    <w:rsid w:val="009432B8"/>
    <w:rsid w:val="00944FE6"/>
    <w:rsid w:val="009464BB"/>
    <w:rsid w:val="0095298F"/>
    <w:rsid w:val="00954FEB"/>
    <w:rsid w:val="00960597"/>
    <w:rsid w:val="009613D5"/>
    <w:rsid w:val="00961B7A"/>
    <w:rsid w:val="00961C00"/>
    <w:rsid w:val="00963371"/>
    <w:rsid w:val="0096443B"/>
    <w:rsid w:val="009660BD"/>
    <w:rsid w:val="00967701"/>
    <w:rsid w:val="00970938"/>
    <w:rsid w:val="009720F6"/>
    <w:rsid w:val="0098154C"/>
    <w:rsid w:val="0098581C"/>
    <w:rsid w:val="009963B4"/>
    <w:rsid w:val="00997C7E"/>
    <w:rsid w:val="009A1CC7"/>
    <w:rsid w:val="009A35FE"/>
    <w:rsid w:val="009A4100"/>
    <w:rsid w:val="009A62AC"/>
    <w:rsid w:val="009A7647"/>
    <w:rsid w:val="009B24A8"/>
    <w:rsid w:val="009B30E9"/>
    <w:rsid w:val="009B3318"/>
    <w:rsid w:val="009B79D4"/>
    <w:rsid w:val="009C476F"/>
    <w:rsid w:val="009C4ABC"/>
    <w:rsid w:val="009C5546"/>
    <w:rsid w:val="009C6102"/>
    <w:rsid w:val="009C669D"/>
    <w:rsid w:val="009C69CC"/>
    <w:rsid w:val="009D1457"/>
    <w:rsid w:val="009D1B2C"/>
    <w:rsid w:val="009D584A"/>
    <w:rsid w:val="009D692F"/>
    <w:rsid w:val="009E0055"/>
    <w:rsid w:val="009E059D"/>
    <w:rsid w:val="009E1E2B"/>
    <w:rsid w:val="009E3CE0"/>
    <w:rsid w:val="009E467D"/>
    <w:rsid w:val="009E4EBF"/>
    <w:rsid w:val="009E5B6D"/>
    <w:rsid w:val="009E6ADF"/>
    <w:rsid w:val="009E7686"/>
    <w:rsid w:val="009F1105"/>
    <w:rsid w:val="009F1DD6"/>
    <w:rsid w:val="009F69C3"/>
    <w:rsid w:val="009F7EDB"/>
    <w:rsid w:val="00A00354"/>
    <w:rsid w:val="00A009A2"/>
    <w:rsid w:val="00A011EF"/>
    <w:rsid w:val="00A03DDC"/>
    <w:rsid w:val="00A0576A"/>
    <w:rsid w:val="00A05D5A"/>
    <w:rsid w:val="00A06CA7"/>
    <w:rsid w:val="00A07F37"/>
    <w:rsid w:val="00A110AF"/>
    <w:rsid w:val="00A14212"/>
    <w:rsid w:val="00A1703F"/>
    <w:rsid w:val="00A237B7"/>
    <w:rsid w:val="00A24280"/>
    <w:rsid w:val="00A2447B"/>
    <w:rsid w:val="00A32515"/>
    <w:rsid w:val="00A356F6"/>
    <w:rsid w:val="00A37197"/>
    <w:rsid w:val="00A43B5E"/>
    <w:rsid w:val="00A451FC"/>
    <w:rsid w:val="00A46E49"/>
    <w:rsid w:val="00A51B0A"/>
    <w:rsid w:val="00A5341B"/>
    <w:rsid w:val="00A54635"/>
    <w:rsid w:val="00A54C2E"/>
    <w:rsid w:val="00A56BFE"/>
    <w:rsid w:val="00A61BC0"/>
    <w:rsid w:val="00A64DBA"/>
    <w:rsid w:val="00A66C0E"/>
    <w:rsid w:val="00A711F2"/>
    <w:rsid w:val="00A71936"/>
    <w:rsid w:val="00A728D8"/>
    <w:rsid w:val="00A73041"/>
    <w:rsid w:val="00A742A3"/>
    <w:rsid w:val="00A74A95"/>
    <w:rsid w:val="00A77E0D"/>
    <w:rsid w:val="00A80293"/>
    <w:rsid w:val="00A83A83"/>
    <w:rsid w:val="00A87CCD"/>
    <w:rsid w:val="00A91AC7"/>
    <w:rsid w:val="00A91CA4"/>
    <w:rsid w:val="00A91D9E"/>
    <w:rsid w:val="00A93B02"/>
    <w:rsid w:val="00A93D88"/>
    <w:rsid w:val="00A965E9"/>
    <w:rsid w:val="00A97A74"/>
    <w:rsid w:val="00AA0138"/>
    <w:rsid w:val="00AA1C9A"/>
    <w:rsid w:val="00AC74EC"/>
    <w:rsid w:val="00AD0BF1"/>
    <w:rsid w:val="00AD1CE2"/>
    <w:rsid w:val="00AD1D85"/>
    <w:rsid w:val="00AD3B49"/>
    <w:rsid w:val="00AD6F30"/>
    <w:rsid w:val="00AD7617"/>
    <w:rsid w:val="00AE2928"/>
    <w:rsid w:val="00AE2D93"/>
    <w:rsid w:val="00AE40E3"/>
    <w:rsid w:val="00AE44BF"/>
    <w:rsid w:val="00AE47F2"/>
    <w:rsid w:val="00AE6C39"/>
    <w:rsid w:val="00AF299D"/>
    <w:rsid w:val="00AF3367"/>
    <w:rsid w:val="00AF5B4B"/>
    <w:rsid w:val="00AF7A9F"/>
    <w:rsid w:val="00B012BF"/>
    <w:rsid w:val="00B04010"/>
    <w:rsid w:val="00B112D9"/>
    <w:rsid w:val="00B12733"/>
    <w:rsid w:val="00B12AB7"/>
    <w:rsid w:val="00B1524E"/>
    <w:rsid w:val="00B17422"/>
    <w:rsid w:val="00B21D6D"/>
    <w:rsid w:val="00B23B54"/>
    <w:rsid w:val="00B240D1"/>
    <w:rsid w:val="00B24DE2"/>
    <w:rsid w:val="00B25188"/>
    <w:rsid w:val="00B26791"/>
    <w:rsid w:val="00B31842"/>
    <w:rsid w:val="00B31D7D"/>
    <w:rsid w:val="00B33D09"/>
    <w:rsid w:val="00B35556"/>
    <w:rsid w:val="00B3652B"/>
    <w:rsid w:val="00B40C86"/>
    <w:rsid w:val="00B424E1"/>
    <w:rsid w:val="00B43E6A"/>
    <w:rsid w:val="00B44906"/>
    <w:rsid w:val="00B50A00"/>
    <w:rsid w:val="00B5194A"/>
    <w:rsid w:val="00B51977"/>
    <w:rsid w:val="00B52898"/>
    <w:rsid w:val="00B53950"/>
    <w:rsid w:val="00B54FF9"/>
    <w:rsid w:val="00B55622"/>
    <w:rsid w:val="00B602D1"/>
    <w:rsid w:val="00B605E0"/>
    <w:rsid w:val="00B63FD2"/>
    <w:rsid w:val="00B652F0"/>
    <w:rsid w:val="00B66327"/>
    <w:rsid w:val="00B666C8"/>
    <w:rsid w:val="00B66D06"/>
    <w:rsid w:val="00B673D3"/>
    <w:rsid w:val="00B67D2E"/>
    <w:rsid w:val="00B67F02"/>
    <w:rsid w:val="00B7082F"/>
    <w:rsid w:val="00B72C2C"/>
    <w:rsid w:val="00B739E5"/>
    <w:rsid w:val="00B74E44"/>
    <w:rsid w:val="00B7585C"/>
    <w:rsid w:val="00B759E7"/>
    <w:rsid w:val="00B76190"/>
    <w:rsid w:val="00B76E68"/>
    <w:rsid w:val="00B77F61"/>
    <w:rsid w:val="00B82A1C"/>
    <w:rsid w:val="00B83723"/>
    <w:rsid w:val="00B84F38"/>
    <w:rsid w:val="00B858BF"/>
    <w:rsid w:val="00B91CDE"/>
    <w:rsid w:val="00B923D0"/>
    <w:rsid w:val="00B93540"/>
    <w:rsid w:val="00B93D07"/>
    <w:rsid w:val="00B9648E"/>
    <w:rsid w:val="00B967BE"/>
    <w:rsid w:val="00BA4880"/>
    <w:rsid w:val="00BB010B"/>
    <w:rsid w:val="00BB5445"/>
    <w:rsid w:val="00BB584C"/>
    <w:rsid w:val="00BB6E04"/>
    <w:rsid w:val="00BB785A"/>
    <w:rsid w:val="00BC0F31"/>
    <w:rsid w:val="00BC194B"/>
    <w:rsid w:val="00BC1D69"/>
    <w:rsid w:val="00BC36D2"/>
    <w:rsid w:val="00BC3944"/>
    <w:rsid w:val="00BC429F"/>
    <w:rsid w:val="00BC6B16"/>
    <w:rsid w:val="00BD17A4"/>
    <w:rsid w:val="00BD689C"/>
    <w:rsid w:val="00BD79E3"/>
    <w:rsid w:val="00BE6506"/>
    <w:rsid w:val="00BF4E0F"/>
    <w:rsid w:val="00BF5E71"/>
    <w:rsid w:val="00BF671F"/>
    <w:rsid w:val="00C0113E"/>
    <w:rsid w:val="00C02700"/>
    <w:rsid w:val="00C03392"/>
    <w:rsid w:val="00C04CA1"/>
    <w:rsid w:val="00C04F19"/>
    <w:rsid w:val="00C07D64"/>
    <w:rsid w:val="00C104D2"/>
    <w:rsid w:val="00C119AE"/>
    <w:rsid w:val="00C11EFF"/>
    <w:rsid w:val="00C11F8B"/>
    <w:rsid w:val="00C125EC"/>
    <w:rsid w:val="00C12D73"/>
    <w:rsid w:val="00C13A16"/>
    <w:rsid w:val="00C13A8B"/>
    <w:rsid w:val="00C1647B"/>
    <w:rsid w:val="00C1699E"/>
    <w:rsid w:val="00C2230E"/>
    <w:rsid w:val="00C27277"/>
    <w:rsid w:val="00C30968"/>
    <w:rsid w:val="00C31838"/>
    <w:rsid w:val="00C3769A"/>
    <w:rsid w:val="00C376CD"/>
    <w:rsid w:val="00C414BE"/>
    <w:rsid w:val="00C4196C"/>
    <w:rsid w:val="00C41B01"/>
    <w:rsid w:val="00C41DA3"/>
    <w:rsid w:val="00C42A6C"/>
    <w:rsid w:val="00C433EC"/>
    <w:rsid w:val="00C44794"/>
    <w:rsid w:val="00C44CB9"/>
    <w:rsid w:val="00C46E9C"/>
    <w:rsid w:val="00C47018"/>
    <w:rsid w:val="00C47DEA"/>
    <w:rsid w:val="00C5168B"/>
    <w:rsid w:val="00C53A9B"/>
    <w:rsid w:val="00C54F92"/>
    <w:rsid w:val="00C5555F"/>
    <w:rsid w:val="00C55956"/>
    <w:rsid w:val="00C570C7"/>
    <w:rsid w:val="00C57D60"/>
    <w:rsid w:val="00C57DE6"/>
    <w:rsid w:val="00C60588"/>
    <w:rsid w:val="00C60B98"/>
    <w:rsid w:val="00C62D73"/>
    <w:rsid w:val="00C63DB3"/>
    <w:rsid w:val="00C65038"/>
    <w:rsid w:val="00C67571"/>
    <w:rsid w:val="00C7778C"/>
    <w:rsid w:val="00C7783C"/>
    <w:rsid w:val="00C81A79"/>
    <w:rsid w:val="00C828A3"/>
    <w:rsid w:val="00C83E92"/>
    <w:rsid w:val="00C842E3"/>
    <w:rsid w:val="00C847D2"/>
    <w:rsid w:val="00C84B7C"/>
    <w:rsid w:val="00C854F4"/>
    <w:rsid w:val="00C86AEF"/>
    <w:rsid w:val="00C9289E"/>
    <w:rsid w:val="00CA0124"/>
    <w:rsid w:val="00CA0EE5"/>
    <w:rsid w:val="00CA161F"/>
    <w:rsid w:val="00CA1EF1"/>
    <w:rsid w:val="00CA2180"/>
    <w:rsid w:val="00CA3D1D"/>
    <w:rsid w:val="00CA434B"/>
    <w:rsid w:val="00CA591E"/>
    <w:rsid w:val="00CA5F96"/>
    <w:rsid w:val="00CA609C"/>
    <w:rsid w:val="00CB1A2C"/>
    <w:rsid w:val="00CB239F"/>
    <w:rsid w:val="00CB26CD"/>
    <w:rsid w:val="00CB35EE"/>
    <w:rsid w:val="00CB68FC"/>
    <w:rsid w:val="00CC10AD"/>
    <w:rsid w:val="00CC25F5"/>
    <w:rsid w:val="00CC4DB8"/>
    <w:rsid w:val="00CC65F4"/>
    <w:rsid w:val="00CC6992"/>
    <w:rsid w:val="00CC6D56"/>
    <w:rsid w:val="00CC6DC1"/>
    <w:rsid w:val="00CC7074"/>
    <w:rsid w:val="00CC722D"/>
    <w:rsid w:val="00CC7AF0"/>
    <w:rsid w:val="00CD284D"/>
    <w:rsid w:val="00CD3913"/>
    <w:rsid w:val="00CD546A"/>
    <w:rsid w:val="00CD587B"/>
    <w:rsid w:val="00CE0872"/>
    <w:rsid w:val="00CE0E2B"/>
    <w:rsid w:val="00CE2DB1"/>
    <w:rsid w:val="00CE3507"/>
    <w:rsid w:val="00CE49F8"/>
    <w:rsid w:val="00CE7F1B"/>
    <w:rsid w:val="00CF069B"/>
    <w:rsid w:val="00CF3688"/>
    <w:rsid w:val="00CF6FF2"/>
    <w:rsid w:val="00D03576"/>
    <w:rsid w:val="00D03752"/>
    <w:rsid w:val="00D04BDB"/>
    <w:rsid w:val="00D05B10"/>
    <w:rsid w:val="00D05B12"/>
    <w:rsid w:val="00D07143"/>
    <w:rsid w:val="00D07347"/>
    <w:rsid w:val="00D07C77"/>
    <w:rsid w:val="00D104F6"/>
    <w:rsid w:val="00D120BF"/>
    <w:rsid w:val="00D162FF"/>
    <w:rsid w:val="00D16D08"/>
    <w:rsid w:val="00D20C85"/>
    <w:rsid w:val="00D25B82"/>
    <w:rsid w:val="00D32192"/>
    <w:rsid w:val="00D324BE"/>
    <w:rsid w:val="00D34AE3"/>
    <w:rsid w:val="00D353EE"/>
    <w:rsid w:val="00D377B2"/>
    <w:rsid w:val="00D45CBA"/>
    <w:rsid w:val="00D52252"/>
    <w:rsid w:val="00D5376D"/>
    <w:rsid w:val="00D537F8"/>
    <w:rsid w:val="00D539E8"/>
    <w:rsid w:val="00D540C0"/>
    <w:rsid w:val="00D6117E"/>
    <w:rsid w:val="00D6195D"/>
    <w:rsid w:val="00D6435C"/>
    <w:rsid w:val="00D64F04"/>
    <w:rsid w:val="00D65EA7"/>
    <w:rsid w:val="00D71C04"/>
    <w:rsid w:val="00D721CA"/>
    <w:rsid w:val="00D721F9"/>
    <w:rsid w:val="00D72E62"/>
    <w:rsid w:val="00D73845"/>
    <w:rsid w:val="00D738D4"/>
    <w:rsid w:val="00D73CDA"/>
    <w:rsid w:val="00D74464"/>
    <w:rsid w:val="00D75DD7"/>
    <w:rsid w:val="00D764F8"/>
    <w:rsid w:val="00D8342A"/>
    <w:rsid w:val="00D84C84"/>
    <w:rsid w:val="00D851B1"/>
    <w:rsid w:val="00D85BCF"/>
    <w:rsid w:val="00D86E2D"/>
    <w:rsid w:val="00D9093E"/>
    <w:rsid w:val="00D92FB4"/>
    <w:rsid w:val="00D947DB"/>
    <w:rsid w:val="00D950B8"/>
    <w:rsid w:val="00D957CC"/>
    <w:rsid w:val="00D96379"/>
    <w:rsid w:val="00D97AAB"/>
    <w:rsid w:val="00DA03F1"/>
    <w:rsid w:val="00DA3936"/>
    <w:rsid w:val="00DA58E7"/>
    <w:rsid w:val="00DB0564"/>
    <w:rsid w:val="00DB10F8"/>
    <w:rsid w:val="00DB30AC"/>
    <w:rsid w:val="00DB6719"/>
    <w:rsid w:val="00DB7021"/>
    <w:rsid w:val="00DB7E80"/>
    <w:rsid w:val="00DC1082"/>
    <w:rsid w:val="00DC1661"/>
    <w:rsid w:val="00DC2D8F"/>
    <w:rsid w:val="00DC646B"/>
    <w:rsid w:val="00DC7E5A"/>
    <w:rsid w:val="00DD019C"/>
    <w:rsid w:val="00DD2EF0"/>
    <w:rsid w:val="00DD3226"/>
    <w:rsid w:val="00DD362B"/>
    <w:rsid w:val="00DD5E9B"/>
    <w:rsid w:val="00DD641B"/>
    <w:rsid w:val="00DE02F9"/>
    <w:rsid w:val="00DE192E"/>
    <w:rsid w:val="00DE287E"/>
    <w:rsid w:val="00DE28A4"/>
    <w:rsid w:val="00DE2C67"/>
    <w:rsid w:val="00DE3CBB"/>
    <w:rsid w:val="00DE4DA8"/>
    <w:rsid w:val="00DE6E90"/>
    <w:rsid w:val="00DF0124"/>
    <w:rsid w:val="00DF210C"/>
    <w:rsid w:val="00DF3C0F"/>
    <w:rsid w:val="00DF482D"/>
    <w:rsid w:val="00DF4F59"/>
    <w:rsid w:val="00E0184D"/>
    <w:rsid w:val="00E03BC1"/>
    <w:rsid w:val="00E058DF"/>
    <w:rsid w:val="00E07AF0"/>
    <w:rsid w:val="00E12FFB"/>
    <w:rsid w:val="00E13A4A"/>
    <w:rsid w:val="00E16740"/>
    <w:rsid w:val="00E17900"/>
    <w:rsid w:val="00E20920"/>
    <w:rsid w:val="00E24BA1"/>
    <w:rsid w:val="00E25F9D"/>
    <w:rsid w:val="00E2652B"/>
    <w:rsid w:val="00E30BF9"/>
    <w:rsid w:val="00E3127B"/>
    <w:rsid w:val="00E31E65"/>
    <w:rsid w:val="00E331D4"/>
    <w:rsid w:val="00E33530"/>
    <w:rsid w:val="00E34E4A"/>
    <w:rsid w:val="00E374EE"/>
    <w:rsid w:val="00E4013E"/>
    <w:rsid w:val="00E40DB5"/>
    <w:rsid w:val="00E41F5B"/>
    <w:rsid w:val="00E43B31"/>
    <w:rsid w:val="00E44882"/>
    <w:rsid w:val="00E47739"/>
    <w:rsid w:val="00E518C6"/>
    <w:rsid w:val="00E51BB1"/>
    <w:rsid w:val="00E522C1"/>
    <w:rsid w:val="00E524E3"/>
    <w:rsid w:val="00E548DD"/>
    <w:rsid w:val="00E57D6B"/>
    <w:rsid w:val="00E63536"/>
    <w:rsid w:val="00E64DDE"/>
    <w:rsid w:val="00E65DB3"/>
    <w:rsid w:val="00E667E1"/>
    <w:rsid w:val="00E67F70"/>
    <w:rsid w:val="00E7008C"/>
    <w:rsid w:val="00E70C73"/>
    <w:rsid w:val="00E7235C"/>
    <w:rsid w:val="00E74296"/>
    <w:rsid w:val="00E8005E"/>
    <w:rsid w:val="00E8231D"/>
    <w:rsid w:val="00E836CF"/>
    <w:rsid w:val="00E84253"/>
    <w:rsid w:val="00E858DD"/>
    <w:rsid w:val="00E86BA0"/>
    <w:rsid w:val="00E90392"/>
    <w:rsid w:val="00E926D7"/>
    <w:rsid w:val="00E93924"/>
    <w:rsid w:val="00E93942"/>
    <w:rsid w:val="00E9560F"/>
    <w:rsid w:val="00E959E8"/>
    <w:rsid w:val="00EA34A5"/>
    <w:rsid w:val="00EA394B"/>
    <w:rsid w:val="00EA3AF6"/>
    <w:rsid w:val="00EA453C"/>
    <w:rsid w:val="00EB0682"/>
    <w:rsid w:val="00EB3804"/>
    <w:rsid w:val="00EB489E"/>
    <w:rsid w:val="00EB5442"/>
    <w:rsid w:val="00EB6D5C"/>
    <w:rsid w:val="00EC1EBD"/>
    <w:rsid w:val="00EC73A0"/>
    <w:rsid w:val="00ED0AE2"/>
    <w:rsid w:val="00ED1703"/>
    <w:rsid w:val="00ED48A9"/>
    <w:rsid w:val="00ED52C4"/>
    <w:rsid w:val="00ED542C"/>
    <w:rsid w:val="00ED5759"/>
    <w:rsid w:val="00ED5E3C"/>
    <w:rsid w:val="00ED6E05"/>
    <w:rsid w:val="00EE1D97"/>
    <w:rsid w:val="00EE35AB"/>
    <w:rsid w:val="00EE69D7"/>
    <w:rsid w:val="00EE71A7"/>
    <w:rsid w:val="00EE78C3"/>
    <w:rsid w:val="00EF05D4"/>
    <w:rsid w:val="00EF2420"/>
    <w:rsid w:val="00EF2C9F"/>
    <w:rsid w:val="00EF2DD5"/>
    <w:rsid w:val="00EF5545"/>
    <w:rsid w:val="00EF7000"/>
    <w:rsid w:val="00EF7886"/>
    <w:rsid w:val="00EF7F26"/>
    <w:rsid w:val="00F01ED9"/>
    <w:rsid w:val="00F03E1A"/>
    <w:rsid w:val="00F05751"/>
    <w:rsid w:val="00F059EC"/>
    <w:rsid w:val="00F06D9D"/>
    <w:rsid w:val="00F119E2"/>
    <w:rsid w:val="00F11C97"/>
    <w:rsid w:val="00F12B54"/>
    <w:rsid w:val="00F16FD6"/>
    <w:rsid w:val="00F20342"/>
    <w:rsid w:val="00F26FA2"/>
    <w:rsid w:val="00F27468"/>
    <w:rsid w:val="00F27FF2"/>
    <w:rsid w:val="00F33E28"/>
    <w:rsid w:val="00F410D9"/>
    <w:rsid w:val="00F43D1C"/>
    <w:rsid w:val="00F44EA0"/>
    <w:rsid w:val="00F50525"/>
    <w:rsid w:val="00F50651"/>
    <w:rsid w:val="00F52FE3"/>
    <w:rsid w:val="00F558BE"/>
    <w:rsid w:val="00F5637A"/>
    <w:rsid w:val="00F57F95"/>
    <w:rsid w:val="00F6006E"/>
    <w:rsid w:val="00F62590"/>
    <w:rsid w:val="00F67854"/>
    <w:rsid w:val="00F67DCA"/>
    <w:rsid w:val="00F726CD"/>
    <w:rsid w:val="00F75D12"/>
    <w:rsid w:val="00F80B2B"/>
    <w:rsid w:val="00F812DE"/>
    <w:rsid w:val="00F8170A"/>
    <w:rsid w:val="00F835E2"/>
    <w:rsid w:val="00F859B9"/>
    <w:rsid w:val="00F862CC"/>
    <w:rsid w:val="00F866A8"/>
    <w:rsid w:val="00F902B8"/>
    <w:rsid w:val="00F90BEB"/>
    <w:rsid w:val="00F917DE"/>
    <w:rsid w:val="00FA11E2"/>
    <w:rsid w:val="00FA2748"/>
    <w:rsid w:val="00FA5B86"/>
    <w:rsid w:val="00FA64BF"/>
    <w:rsid w:val="00FB2307"/>
    <w:rsid w:val="00FB291C"/>
    <w:rsid w:val="00FB33E4"/>
    <w:rsid w:val="00FB75B1"/>
    <w:rsid w:val="00FC05F4"/>
    <w:rsid w:val="00FC0A74"/>
    <w:rsid w:val="00FC126C"/>
    <w:rsid w:val="00FC13F5"/>
    <w:rsid w:val="00FC1942"/>
    <w:rsid w:val="00FC503E"/>
    <w:rsid w:val="00FC612C"/>
    <w:rsid w:val="00FD14B1"/>
    <w:rsid w:val="00FD295E"/>
    <w:rsid w:val="00FD3787"/>
    <w:rsid w:val="00FE1DED"/>
    <w:rsid w:val="00FE2821"/>
    <w:rsid w:val="00FE4146"/>
    <w:rsid w:val="00FE5963"/>
    <w:rsid w:val="00FF0550"/>
    <w:rsid w:val="00FF3FB1"/>
    <w:rsid w:val="00FF594B"/>
    <w:rsid w:val="00FF69FD"/>
    <w:rsid w:val="00FF6E60"/>
    <w:rsid w:val="00FF7E3A"/>
    <w:rsid w:val="01177248"/>
    <w:rsid w:val="01293EA8"/>
    <w:rsid w:val="013025A6"/>
    <w:rsid w:val="01407B58"/>
    <w:rsid w:val="014A335F"/>
    <w:rsid w:val="015758B3"/>
    <w:rsid w:val="0184299E"/>
    <w:rsid w:val="018C5E14"/>
    <w:rsid w:val="01B87168"/>
    <w:rsid w:val="021D3F42"/>
    <w:rsid w:val="0226105D"/>
    <w:rsid w:val="023531A1"/>
    <w:rsid w:val="02BD0613"/>
    <w:rsid w:val="03186066"/>
    <w:rsid w:val="034311BF"/>
    <w:rsid w:val="03945A78"/>
    <w:rsid w:val="03BB63CD"/>
    <w:rsid w:val="041C213A"/>
    <w:rsid w:val="041E23E4"/>
    <w:rsid w:val="04207FE7"/>
    <w:rsid w:val="04922E98"/>
    <w:rsid w:val="058E175A"/>
    <w:rsid w:val="05A53794"/>
    <w:rsid w:val="05BB40A7"/>
    <w:rsid w:val="05DB6FC8"/>
    <w:rsid w:val="063A1481"/>
    <w:rsid w:val="07204FED"/>
    <w:rsid w:val="076B1377"/>
    <w:rsid w:val="07777E56"/>
    <w:rsid w:val="079F36D0"/>
    <w:rsid w:val="07C639C9"/>
    <w:rsid w:val="07D668AB"/>
    <w:rsid w:val="08207CCC"/>
    <w:rsid w:val="085179DC"/>
    <w:rsid w:val="08B14E11"/>
    <w:rsid w:val="08D54157"/>
    <w:rsid w:val="08F82F4D"/>
    <w:rsid w:val="090818CD"/>
    <w:rsid w:val="091156B1"/>
    <w:rsid w:val="091F599F"/>
    <w:rsid w:val="09413987"/>
    <w:rsid w:val="098E244B"/>
    <w:rsid w:val="09B6605A"/>
    <w:rsid w:val="0A240223"/>
    <w:rsid w:val="0A592947"/>
    <w:rsid w:val="0A6A205E"/>
    <w:rsid w:val="0A712BE9"/>
    <w:rsid w:val="0AD45579"/>
    <w:rsid w:val="0B0D7E81"/>
    <w:rsid w:val="0B2727D3"/>
    <w:rsid w:val="0B2F046F"/>
    <w:rsid w:val="0B3D3C27"/>
    <w:rsid w:val="0B482828"/>
    <w:rsid w:val="0B7A5392"/>
    <w:rsid w:val="0BAF19D6"/>
    <w:rsid w:val="0BE05708"/>
    <w:rsid w:val="0BE5339E"/>
    <w:rsid w:val="0C0F4985"/>
    <w:rsid w:val="0C73469B"/>
    <w:rsid w:val="0CCA4881"/>
    <w:rsid w:val="0CE87FFB"/>
    <w:rsid w:val="0CEA667A"/>
    <w:rsid w:val="0CF435F7"/>
    <w:rsid w:val="0D265E03"/>
    <w:rsid w:val="0D3D59AC"/>
    <w:rsid w:val="0D756E5E"/>
    <w:rsid w:val="0DA102AD"/>
    <w:rsid w:val="0DBD5C59"/>
    <w:rsid w:val="0E12193F"/>
    <w:rsid w:val="0E240F76"/>
    <w:rsid w:val="0E4C7154"/>
    <w:rsid w:val="0E567EA6"/>
    <w:rsid w:val="0EB629C8"/>
    <w:rsid w:val="0EEF50F9"/>
    <w:rsid w:val="0F65533A"/>
    <w:rsid w:val="0FEA1E6A"/>
    <w:rsid w:val="0FF72B8B"/>
    <w:rsid w:val="0FF80D6E"/>
    <w:rsid w:val="100D0030"/>
    <w:rsid w:val="105946D8"/>
    <w:rsid w:val="105B1B1E"/>
    <w:rsid w:val="105C4614"/>
    <w:rsid w:val="108142B2"/>
    <w:rsid w:val="10A6129A"/>
    <w:rsid w:val="116C5FB2"/>
    <w:rsid w:val="11707FCD"/>
    <w:rsid w:val="11785C1C"/>
    <w:rsid w:val="11E11A40"/>
    <w:rsid w:val="12AF15E9"/>
    <w:rsid w:val="13250EF0"/>
    <w:rsid w:val="13A8554F"/>
    <w:rsid w:val="13CD5F38"/>
    <w:rsid w:val="13F12A93"/>
    <w:rsid w:val="148401AD"/>
    <w:rsid w:val="14A6798D"/>
    <w:rsid w:val="14B7277E"/>
    <w:rsid w:val="14BC5795"/>
    <w:rsid w:val="15072F84"/>
    <w:rsid w:val="150A59C6"/>
    <w:rsid w:val="157F4CF2"/>
    <w:rsid w:val="15852F68"/>
    <w:rsid w:val="1611256F"/>
    <w:rsid w:val="162F00E6"/>
    <w:rsid w:val="16305CA3"/>
    <w:rsid w:val="163656CD"/>
    <w:rsid w:val="16531C73"/>
    <w:rsid w:val="166E4DE0"/>
    <w:rsid w:val="16E2484F"/>
    <w:rsid w:val="16EE5E4A"/>
    <w:rsid w:val="170424ED"/>
    <w:rsid w:val="17353E8D"/>
    <w:rsid w:val="175D37CA"/>
    <w:rsid w:val="17795219"/>
    <w:rsid w:val="17C1795A"/>
    <w:rsid w:val="18004279"/>
    <w:rsid w:val="180773E7"/>
    <w:rsid w:val="182F6564"/>
    <w:rsid w:val="183C41C7"/>
    <w:rsid w:val="184D50D7"/>
    <w:rsid w:val="1859347E"/>
    <w:rsid w:val="1867725E"/>
    <w:rsid w:val="188378C0"/>
    <w:rsid w:val="18BA06BB"/>
    <w:rsid w:val="19870A39"/>
    <w:rsid w:val="19981085"/>
    <w:rsid w:val="19D678A6"/>
    <w:rsid w:val="1A166D11"/>
    <w:rsid w:val="1A640AF9"/>
    <w:rsid w:val="1A936208"/>
    <w:rsid w:val="1AA96A1D"/>
    <w:rsid w:val="1AB02026"/>
    <w:rsid w:val="1B053194"/>
    <w:rsid w:val="1B706193"/>
    <w:rsid w:val="1BB40602"/>
    <w:rsid w:val="1BE542DE"/>
    <w:rsid w:val="1C242F62"/>
    <w:rsid w:val="1C406371"/>
    <w:rsid w:val="1C8A4F21"/>
    <w:rsid w:val="1CAE609E"/>
    <w:rsid w:val="1D2F104C"/>
    <w:rsid w:val="1D3F1C4E"/>
    <w:rsid w:val="1D48756A"/>
    <w:rsid w:val="1D685E4C"/>
    <w:rsid w:val="1D6D48AC"/>
    <w:rsid w:val="1D835CA9"/>
    <w:rsid w:val="1D913FE4"/>
    <w:rsid w:val="1DC832DB"/>
    <w:rsid w:val="1E253EC6"/>
    <w:rsid w:val="1E375351"/>
    <w:rsid w:val="1E491536"/>
    <w:rsid w:val="1E4C5220"/>
    <w:rsid w:val="1EBC41D2"/>
    <w:rsid w:val="1EC45D7B"/>
    <w:rsid w:val="1EE50491"/>
    <w:rsid w:val="1EE7634C"/>
    <w:rsid w:val="1F000D55"/>
    <w:rsid w:val="1F280FB3"/>
    <w:rsid w:val="1F671060"/>
    <w:rsid w:val="1F863727"/>
    <w:rsid w:val="1F8F6038"/>
    <w:rsid w:val="1F9250D8"/>
    <w:rsid w:val="1FB07B06"/>
    <w:rsid w:val="1FBA5E49"/>
    <w:rsid w:val="1FD23ADF"/>
    <w:rsid w:val="1FDE60BB"/>
    <w:rsid w:val="201C73D2"/>
    <w:rsid w:val="202E42AF"/>
    <w:rsid w:val="20556440"/>
    <w:rsid w:val="208279C3"/>
    <w:rsid w:val="20A565BC"/>
    <w:rsid w:val="210744D1"/>
    <w:rsid w:val="210E304B"/>
    <w:rsid w:val="21373806"/>
    <w:rsid w:val="215D3C8B"/>
    <w:rsid w:val="21656D11"/>
    <w:rsid w:val="218274F6"/>
    <w:rsid w:val="21A80DE6"/>
    <w:rsid w:val="21B33237"/>
    <w:rsid w:val="222657E6"/>
    <w:rsid w:val="22300360"/>
    <w:rsid w:val="22664385"/>
    <w:rsid w:val="22E753F1"/>
    <w:rsid w:val="22EE5612"/>
    <w:rsid w:val="23044398"/>
    <w:rsid w:val="231350EA"/>
    <w:rsid w:val="23B0536C"/>
    <w:rsid w:val="23FC7E17"/>
    <w:rsid w:val="240746A2"/>
    <w:rsid w:val="2409037D"/>
    <w:rsid w:val="242D32E9"/>
    <w:rsid w:val="24375BE2"/>
    <w:rsid w:val="243D70E2"/>
    <w:rsid w:val="24422595"/>
    <w:rsid w:val="24925563"/>
    <w:rsid w:val="24A81E72"/>
    <w:rsid w:val="24CC0250"/>
    <w:rsid w:val="25277A5D"/>
    <w:rsid w:val="269B3E02"/>
    <w:rsid w:val="26D061E7"/>
    <w:rsid w:val="26E3315B"/>
    <w:rsid w:val="26F8647C"/>
    <w:rsid w:val="26FD3026"/>
    <w:rsid w:val="270D21E0"/>
    <w:rsid w:val="27E83AF1"/>
    <w:rsid w:val="28027A12"/>
    <w:rsid w:val="282E086C"/>
    <w:rsid w:val="2832593F"/>
    <w:rsid w:val="28731119"/>
    <w:rsid w:val="288866D5"/>
    <w:rsid w:val="28CF2810"/>
    <w:rsid w:val="28E90686"/>
    <w:rsid w:val="29115134"/>
    <w:rsid w:val="29150116"/>
    <w:rsid w:val="29814B09"/>
    <w:rsid w:val="299A64E5"/>
    <w:rsid w:val="299A7FE1"/>
    <w:rsid w:val="29D723A1"/>
    <w:rsid w:val="29FE6887"/>
    <w:rsid w:val="2A4E3E86"/>
    <w:rsid w:val="2AD065D0"/>
    <w:rsid w:val="2B7C49F6"/>
    <w:rsid w:val="2BC134D1"/>
    <w:rsid w:val="2BC70726"/>
    <w:rsid w:val="2BC74DE7"/>
    <w:rsid w:val="2C05555F"/>
    <w:rsid w:val="2C1275DD"/>
    <w:rsid w:val="2C491C0D"/>
    <w:rsid w:val="2C693BD2"/>
    <w:rsid w:val="2C931AE9"/>
    <w:rsid w:val="2CAB1CD9"/>
    <w:rsid w:val="2CF22B44"/>
    <w:rsid w:val="2D0B1EA4"/>
    <w:rsid w:val="2D0C7E49"/>
    <w:rsid w:val="2D2732D9"/>
    <w:rsid w:val="2D430203"/>
    <w:rsid w:val="2D683869"/>
    <w:rsid w:val="2D734D56"/>
    <w:rsid w:val="2D872BC4"/>
    <w:rsid w:val="2DB02788"/>
    <w:rsid w:val="2DBB74A2"/>
    <w:rsid w:val="2DD46C34"/>
    <w:rsid w:val="2E5E678B"/>
    <w:rsid w:val="2E641AB1"/>
    <w:rsid w:val="2E964D6D"/>
    <w:rsid w:val="2ECB6F29"/>
    <w:rsid w:val="2F387F66"/>
    <w:rsid w:val="2F5300A6"/>
    <w:rsid w:val="2F7B5139"/>
    <w:rsid w:val="2FB40D6B"/>
    <w:rsid w:val="2FC43F43"/>
    <w:rsid w:val="303A0B81"/>
    <w:rsid w:val="30453A1B"/>
    <w:rsid w:val="304E4592"/>
    <w:rsid w:val="30754980"/>
    <w:rsid w:val="30A62CC5"/>
    <w:rsid w:val="30C24ECB"/>
    <w:rsid w:val="30C36EBA"/>
    <w:rsid w:val="318E253A"/>
    <w:rsid w:val="31CC63F4"/>
    <w:rsid w:val="31D64DCF"/>
    <w:rsid w:val="323A7A30"/>
    <w:rsid w:val="3286403A"/>
    <w:rsid w:val="32DA451D"/>
    <w:rsid w:val="32EE491C"/>
    <w:rsid w:val="33963EAF"/>
    <w:rsid w:val="339A36F8"/>
    <w:rsid w:val="33BE4474"/>
    <w:rsid w:val="33FD6992"/>
    <w:rsid w:val="34BA3623"/>
    <w:rsid w:val="34DB1DA1"/>
    <w:rsid w:val="34DC6C2B"/>
    <w:rsid w:val="34EB7171"/>
    <w:rsid w:val="350C5171"/>
    <w:rsid w:val="351576DF"/>
    <w:rsid w:val="352202BD"/>
    <w:rsid w:val="353B12C8"/>
    <w:rsid w:val="35631484"/>
    <w:rsid w:val="35867C8B"/>
    <w:rsid w:val="358E6821"/>
    <w:rsid w:val="35C2156D"/>
    <w:rsid w:val="35EE73A3"/>
    <w:rsid w:val="36151895"/>
    <w:rsid w:val="36191A12"/>
    <w:rsid w:val="362977AF"/>
    <w:rsid w:val="36495982"/>
    <w:rsid w:val="364A4643"/>
    <w:rsid w:val="368723B0"/>
    <w:rsid w:val="368D3355"/>
    <w:rsid w:val="369719F0"/>
    <w:rsid w:val="36AB1A3E"/>
    <w:rsid w:val="373F2FDE"/>
    <w:rsid w:val="37622B11"/>
    <w:rsid w:val="37712F65"/>
    <w:rsid w:val="37A21EED"/>
    <w:rsid w:val="381D51B1"/>
    <w:rsid w:val="388E2D67"/>
    <w:rsid w:val="389D3F3F"/>
    <w:rsid w:val="389F019B"/>
    <w:rsid w:val="38F151DE"/>
    <w:rsid w:val="394C42E9"/>
    <w:rsid w:val="3974312B"/>
    <w:rsid w:val="39777139"/>
    <w:rsid w:val="39CB239A"/>
    <w:rsid w:val="39E71881"/>
    <w:rsid w:val="39F43787"/>
    <w:rsid w:val="39F860A4"/>
    <w:rsid w:val="3A12077B"/>
    <w:rsid w:val="3A394A3D"/>
    <w:rsid w:val="3A3D5E22"/>
    <w:rsid w:val="3A4109ED"/>
    <w:rsid w:val="3A713971"/>
    <w:rsid w:val="3A774D74"/>
    <w:rsid w:val="3AA90767"/>
    <w:rsid w:val="3AA93A09"/>
    <w:rsid w:val="3AD01345"/>
    <w:rsid w:val="3AD100C9"/>
    <w:rsid w:val="3AEC54A8"/>
    <w:rsid w:val="3B0158B9"/>
    <w:rsid w:val="3B4D02C0"/>
    <w:rsid w:val="3B5D7A60"/>
    <w:rsid w:val="3B6B5A04"/>
    <w:rsid w:val="3B724F74"/>
    <w:rsid w:val="3BA47205"/>
    <w:rsid w:val="3BEA1624"/>
    <w:rsid w:val="3BEA1AD6"/>
    <w:rsid w:val="3C715EDA"/>
    <w:rsid w:val="3C7515AC"/>
    <w:rsid w:val="3CD71A40"/>
    <w:rsid w:val="3D0C0595"/>
    <w:rsid w:val="3D95006A"/>
    <w:rsid w:val="3DD45079"/>
    <w:rsid w:val="3DEC1B20"/>
    <w:rsid w:val="3DFB629A"/>
    <w:rsid w:val="3E3F02BA"/>
    <w:rsid w:val="3E7445C4"/>
    <w:rsid w:val="3EC819FC"/>
    <w:rsid w:val="3ED53DB1"/>
    <w:rsid w:val="3EF92263"/>
    <w:rsid w:val="3F0D3E64"/>
    <w:rsid w:val="3F1A1423"/>
    <w:rsid w:val="3F2E2375"/>
    <w:rsid w:val="3FAB6B61"/>
    <w:rsid w:val="3FE46A60"/>
    <w:rsid w:val="3FE8047C"/>
    <w:rsid w:val="40352F2D"/>
    <w:rsid w:val="406C48CB"/>
    <w:rsid w:val="40B062E6"/>
    <w:rsid w:val="40E26347"/>
    <w:rsid w:val="41143D47"/>
    <w:rsid w:val="41810A1F"/>
    <w:rsid w:val="419849CA"/>
    <w:rsid w:val="41D5344B"/>
    <w:rsid w:val="41D90FD8"/>
    <w:rsid w:val="420C5B74"/>
    <w:rsid w:val="42151D3F"/>
    <w:rsid w:val="42591D0D"/>
    <w:rsid w:val="42D145CA"/>
    <w:rsid w:val="42F03120"/>
    <w:rsid w:val="43257F90"/>
    <w:rsid w:val="436C4551"/>
    <w:rsid w:val="439A3C51"/>
    <w:rsid w:val="43C35269"/>
    <w:rsid w:val="43DB0AE7"/>
    <w:rsid w:val="43E330A2"/>
    <w:rsid w:val="446313FC"/>
    <w:rsid w:val="448F21EB"/>
    <w:rsid w:val="449A0016"/>
    <w:rsid w:val="44A448F4"/>
    <w:rsid w:val="44DA4DDF"/>
    <w:rsid w:val="44EF6BAD"/>
    <w:rsid w:val="46030F57"/>
    <w:rsid w:val="46083B32"/>
    <w:rsid w:val="46944161"/>
    <w:rsid w:val="46AE558F"/>
    <w:rsid w:val="471E5352"/>
    <w:rsid w:val="47421C3D"/>
    <w:rsid w:val="47730C83"/>
    <w:rsid w:val="47CA0F10"/>
    <w:rsid w:val="47E81016"/>
    <w:rsid w:val="48190F14"/>
    <w:rsid w:val="485E5C5A"/>
    <w:rsid w:val="48CD73D4"/>
    <w:rsid w:val="48E673A1"/>
    <w:rsid w:val="491E6641"/>
    <w:rsid w:val="4A6A0268"/>
    <w:rsid w:val="4A7035E6"/>
    <w:rsid w:val="4ADA357A"/>
    <w:rsid w:val="4ADD7A5C"/>
    <w:rsid w:val="4ADE601B"/>
    <w:rsid w:val="4B143DF7"/>
    <w:rsid w:val="4B3D159C"/>
    <w:rsid w:val="4B572A06"/>
    <w:rsid w:val="4BA7585C"/>
    <w:rsid w:val="4BC53FD9"/>
    <w:rsid w:val="4BCD0F0E"/>
    <w:rsid w:val="4C475163"/>
    <w:rsid w:val="4C55042F"/>
    <w:rsid w:val="4CAF41EF"/>
    <w:rsid w:val="4CB0033F"/>
    <w:rsid w:val="4CDA3132"/>
    <w:rsid w:val="4CE33FC9"/>
    <w:rsid w:val="4CEC5285"/>
    <w:rsid w:val="4CED59E4"/>
    <w:rsid w:val="4CFC3CFF"/>
    <w:rsid w:val="4D1241BB"/>
    <w:rsid w:val="4D7D6B54"/>
    <w:rsid w:val="4E0177DE"/>
    <w:rsid w:val="4E5937EC"/>
    <w:rsid w:val="4E817515"/>
    <w:rsid w:val="4EF47F91"/>
    <w:rsid w:val="4EF8692B"/>
    <w:rsid w:val="4EFE06E5"/>
    <w:rsid w:val="4F413E11"/>
    <w:rsid w:val="4F621CCD"/>
    <w:rsid w:val="4F6C7F4F"/>
    <w:rsid w:val="4FB30330"/>
    <w:rsid w:val="4FF72A2A"/>
    <w:rsid w:val="500B7A05"/>
    <w:rsid w:val="503B225F"/>
    <w:rsid w:val="50536E44"/>
    <w:rsid w:val="50772E33"/>
    <w:rsid w:val="50E152C8"/>
    <w:rsid w:val="511845BA"/>
    <w:rsid w:val="51727D72"/>
    <w:rsid w:val="517701F1"/>
    <w:rsid w:val="51A2603D"/>
    <w:rsid w:val="51D20AB6"/>
    <w:rsid w:val="51D90F97"/>
    <w:rsid w:val="525A49D3"/>
    <w:rsid w:val="52AA4E35"/>
    <w:rsid w:val="530101CC"/>
    <w:rsid w:val="53054261"/>
    <w:rsid w:val="53096D26"/>
    <w:rsid w:val="530C1B42"/>
    <w:rsid w:val="534040FF"/>
    <w:rsid w:val="53537D51"/>
    <w:rsid w:val="53650E12"/>
    <w:rsid w:val="53940478"/>
    <w:rsid w:val="53BC7CDC"/>
    <w:rsid w:val="53E4742E"/>
    <w:rsid w:val="540B6441"/>
    <w:rsid w:val="54401185"/>
    <w:rsid w:val="547974AA"/>
    <w:rsid w:val="54CD51BB"/>
    <w:rsid w:val="54D83D62"/>
    <w:rsid w:val="550324B6"/>
    <w:rsid w:val="554556F1"/>
    <w:rsid w:val="55497865"/>
    <w:rsid w:val="554A4DA5"/>
    <w:rsid w:val="55961E53"/>
    <w:rsid w:val="559A4BD3"/>
    <w:rsid w:val="55A14926"/>
    <w:rsid w:val="55A819AF"/>
    <w:rsid w:val="55CF0DBB"/>
    <w:rsid w:val="55D72431"/>
    <w:rsid w:val="55F00F84"/>
    <w:rsid w:val="56163843"/>
    <w:rsid w:val="5663029F"/>
    <w:rsid w:val="566A6E32"/>
    <w:rsid w:val="567627A9"/>
    <w:rsid w:val="568B27CB"/>
    <w:rsid w:val="569925F5"/>
    <w:rsid w:val="569975BF"/>
    <w:rsid w:val="56CC3416"/>
    <w:rsid w:val="56DA063E"/>
    <w:rsid w:val="572C631D"/>
    <w:rsid w:val="57A04AEF"/>
    <w:rsid w:val="57DC1EFE"/>
    <w:rsid w:val="58267179"/>
    <w:rsid w:val="58725C55"/>
    <w:rsid w:val="58BE3DA9"/>
    <w:rsid w:val="58DF7055"/>
    <w:rsid w:val="59066698"/>
    <w:rsid w:val="59303207"/>
    <w:rsid w:val="596239C4"/>
    <w:rsid w:val="59993012"/>
    <w:rsid w:val="59B4094F"/>
    <w:rsid w:val="59D12F74"/>
    <w:rsid w:val="5A963B79"/>
    <w:rsid w:val="5AA77FB7"/>
    <w:rsid w:val="5AC775FB"/>
    <w:rsid w:val="5B3C7C58"/>
    <w:rsid w:val="5B7F4D9D"/>
    <w:rsid w:val="5B9160D7"/>
    <w:rsid w:val="5C2269CB"/>
    <w:rsid w:val="5C233CA2"/>
    <w:rsid w:val="5C3A610E"/>
    <w:rsid w:val="5C4934DA"/>
    <w:rsid w:val="5C582A56"/>
    <w:rsid w:val="5C880D2C"/>
    <w:rsid w:val="5CB100DA"/>
    <w:rsid w:val="5CBB4629"/>
    <w:rsid w:val="5CC73E56"/>
    <w:rsid w:val="5D0C2509"/>
    <w:rsid w:val="5D281993"/>
    <w:rsid w:val="5D9C6897"/>
    <w:rsid w:val="5DD857BB"/>
    <w:rsid w:val="5DE20CCB"/>
    <w:rsid w:val="5DEA14CC"/>
    <w:rsid w:val="5E0041EB"/>
    <w:rsid w:val="5E1A7946"/>
    <w:rsid w:val="5E254B0F"/>
    <w:rsid w:val="5E6A7436"/>
    <w:rsid w:val="5EF54C9A"/>
    <w:rsid w:val="5F0916D1"/>
    <w:rsid w:val="5F3B6549"/>
    <w:rsid w:val="5F433635"/>
    <w:rsid w:val="5F94546B"/>
    <w:rsid w:val="5FC62E93"/>
    <w:rsid w:val="608D7991"/>
    <w:rsid w:val="61251AB1"/>
    <w:rsid w:val="6153280D"/>
    <w:rsid w:val="61B01AA7"/>
    <w:rsid w:val="61B21F72"/>
    <w:rsid w:val="61FE2CBA"/>
    <w:rsid w:val="6226119F"/>
    <w:rsid w:val="623D5CB0"/>
    <w:rsid w:val="62993921"/>
    <w:rsid w:val="62D9292B"/>
    <w:rsid w:val="62E07069"/>
    <w:rsid w:val="62FD1A5A"/>
    <w:rsid w:val="63171CE6"/>
    <w:rsid w:val="632637F4"/>
    <w:rsid w:val="632A708A"/>
    <w:rsid w:val="634C5BEE"/>
    <w:rsid w:val="635C035B"/>
    <w:rsid w:val="63751EEC"/>
    <w:rsid w:val="64162F42"/>
    <w:rsid w:val="642A2472"/>
    <w:rsid w:val="64304D5E"/>
    <w:rsid w:val="64387593"/>
    <w:rsid w:val="643B3835"/>
    <w:rsid w:val="64494A88"/>
    <w:rsid w:val="6484369D"/>
    <w:rsid w:val="648D20DA"/>
    <w:rsid w:val="64C65296"/>
    <w:rsid w:val="64DD049C"/>
    <w:rsid w:val="64EB62CD"/>
    <w:rsid w:val="65310AC4"/>
    <w:rsid w:val="653C28E8"/>
    <w:rsid w:val="653F5F24"/>
    <w:rsid w:val="65580448"/>
    <w:rsid w:val="656B6A0E"/>
    <w:rsid w:val="65861A36"/>
    <w:rsid w:val="65BE00C8"/>
    <w:rsid w:val="65D61782"/>
    <w:rsid w:val="66352EF8"/>
    <w:rsid w:val="665F2350"/>
    <w:rsid w:val="66725409"/>
    <w:rsid w:val="66847A80"/>
    <w:rsid w:val="669335F3"/>
    <w:rsid w:val="66CE5F20"/>
    <w:rsid w:val="66FD3C5C"/>
    <w:rsid w:val="67391E46"/>
    <w:rsid w:val="679E1B3D"/>
    <w:rsid w:val="67F76A8D"/>
    <w:rsid w:val="6821480B"/>
    <w:rsid w:val="68C8119E"/>
    <w:rsid w:val="69066DDE"/>
    <w:rsid w:val="69164A8B"/>
    <w:rsid w:val="6933431D"/>
    <w:rsid w:val="69C03B32"/>
    <w:rsid w:val="6A1D5822"/>
    <w:rsid w:val="6A6461A0"/>
    <w:rsid w:val="6A9C084D"/>
    <w:rsid w:val="6AB81507"/>
    <w:rsid w:val="6AFF2107"/>
    <w:rsid w:val="6B0173F0"/>
    <w:rsid w:val="6B121A70"/>
    <w:rsid w:val="6B273D09"/>
    <w:rsid w:val="6B4969D2"/>
    <w:rsid w:val="6B4B3908"/>
    <w:rsid w:val="6B577529"/>
    <w:rsid w:val="6BEC355B"/>
    <w:rsid w:val="6C406969"/>
    <w:rsid w:val="6C606575"/>
    <w:rsid w:val="6C7B1E6A"/>
    <w:rsid w:val="6CDC47E7"/>
    <w:rsid w:val="6CE67F65"/>
    <w:rsid w:val="6D1C7554"/>
    <w:rsid w:val="6D6F32A9"/>
    <w:rsid w:val="6DAA5414"/>
    <w:rsid w:val="6DD4217F"/>
    <w:rsid w:val="6DD6013E"/>
    <w:rsid w:val="6DE42CDE"/>
    <w:rsid w:val="6DE8784A"/>
    <w:rsid w:val="6DE95988"/>
    <w:rsid w:val="6E0D67A3"/>
    <w:rsid w:val="6E1A46AD"/>
    <w:rsid w:val="6E32600D"/>
    <w:rsid w:val="6EBF1FBA"/>
    <w:rsid w:val="6EF533F8"/>
    <w:rsid w:val="6F065A07"/>
    <w:rsid w:val="6F452C9F"/>
    <w:rsid w:val="6F6B0A9A"/>
    <w:rsid w:val="6F796589"/>
    <w:rsid w:val="6FC705C7"/>
    <w:rsid w:val="6FD66476"/>
    <w:rsid w:val="6FDE6578"/>
    <w:rsid w:val="70070341"/>
    <w:rsid w:val="70395235"/>
    <w:rsid w:val="704B3BB5"/>
    <w:rsid w:val="70700290"/>
    <w:rsid w:val="70704256"/>
    <w:rsid w:val="70D072DD"/>
    <w:rsid w:val="70F5298A"/>
    <w:rsid w:val="71500A9D"/>
    <w:rsid w:val="715F5C67"/>
    <w:rsid w:val="71702C07"/>
    <w:rsid w:val="71D469FD"/>
    <w:rsid w:val="71F400A0"/>
    <w:rsid w:val="71F57E74"/>
    <w:rsid w:val="72081527"/>
    <w:rsid w:val="720C52FC"/>
    <w:rsid w:val="723447BB"/>
    <w:rsid w:val="723E775F"/>
    <w:rsid w:val="7259417C"/>
    <w:rsid w:val="729313C7"/>
    <w:rsid w:val="729543E3"/>
    <w:rsid w:val="730064A5"/>
    <w:rsid w:val="73326A8D"/>
    <w:rsid w:val="736A1362"/>
    <w:rsid w:val="73AA00E1"/>
    <w:rsid w:val="73FB6580"/>
    <w:rsid w:val="742A3778"/>
    <w:rsid w:val="74357205"/>
    <w:rsid w:val="7477601F"/>
    <w:rsid w:val="74F32944"/>
    <w:rsid w:val="754617ED"/>
    <w:rsid w:val="755E634F"/>
    <w:rsid w:val="757D7324"/>
    <w:rsid w:val="758C6719"/>
    <w:rsid w:val="75A10A24"/>
    <w:rsid w:val="75DE0E6F"/>
    <w:rsid w:val="761200F1"/>
    <w:rsid w:val="763A0A05"/>
    <w:rsid w:val="763F65B8"/>
    <w:rsid w:val="76663364"/>
    <w:rsid w:val="76896098"/>
    <w:rsid w:val="768A78DE"/>
    <w:rsid w:val="76E61A18"/>
    <w:rsid w:val="76FC34D9"/>
    <w:rsid w:val="771A6764"/>
    <w:rsid w:val="771C3DCE"/>
    <w:rsid w:val="776F7AD6"/>
    <w:rsid w:val="77736610"/>
    <w:rsid w:val="7796168A"/>
    <w:rsid w:val="77F270F6"/>
    <w:rsid w:val="78113C39"/>
    <w:rsid w:val="782E4F3F"/>
    <w:rsid w:val="78586DFA"/>
    <w:rsid w:val="78A267D6"/>
    <w:rsid w:val="78A43FAF"/>
    <w:rsid w:val="78AC2EC4"/>
    <w:rsid w:val="78BB4B1E"/>
    <w:rsid w:val="78C328D8"/>
    <w:rsid w:val="78EB2677"/>
    <w:rsid w:val="7913795D"/>
    <w:rsid w:val="793A6A22"/>
    <w:rsid w:val="79573F10"/>
    <w:rsid w:val="795D572C"/>
    <w:rsid w:val="7978171E"/>
    <w:rsid w:val="797B1F63"/>
    <w:rsid w:val="799956B6"/>
    <w:rsid w:val="79A014BB"/>
    <w:rsid w:val="79BB2FAE"/>
    <w:rsid w:val="79FD715D"/>
    <w:rsid w:val="7A994B95"/>
    <w:rsid w:val="7A9A50DE"/>
    <w:rsid w:val="7AFC34CE"/>
    <w:rsid w:val="7B550810"/>
    <w:rsid w:val="7B647F90"/>
    <w:rsid w:val="7BE12823"/>
    <w:rsid w:val="7C1F7660"/>
    <w:rsid w:val="7C593B8D"/>
    <w:rsid w:val="7C607E3E"/>
    <w:rsid w:val="7C6D5346"/>
    <w:rsid w:val="7C7E1BB2"/>
    <w:rsid w:val="7C9857D1"/>
    <w:rsid w:val="7D1854FB"/>
    <w:rsid w:val="7D1D0535"/>
    <w:rsid w:val="7D203B3E"/>
    <w:rsid w:val="7D5434DF"/>
    <w:rsid w:val="7D8C152D"/>
    <w:rsid w:val="7DA00881"/>
    <w:rsid w:val="7DA93288"/>
    <w:rsid w:val="7DE65035"/>
    <w:rsid w:val="7E010B0F"/>
    <w:rsid w:val="7E26724F"/>
    <w:rsid w:val="7E2F37DC"/>
    <w:rsid w:val="7E4257A3"/>
    <w:rsid w:val="7E436D91"/>
    <w:rsid w:val="7E5A630B"/>
    <w:rsid w:val="7E876950"/>
    <w:rsid w:val="7EED4712"/>
    <w:rsid w:val="7F561122"/>
    <w:rsid w:val="7F8274A6"/>
    <w:rsid w:val="7F991D92"/>
    <w:rsid w:val="7FBD5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iPriority="0" w:semiHidden="0" w:name="annotation text"/>
    <w:lsdException w:qFormat="1" w:uiPriority="99" w:semiHidden="0" w:name="header"/>
    <w:lsdException w:qFormat="1" w:unhideWhenUsed="0"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uiPriority w:val="0"/>
    <w:pPr>
      <w:keepNext/>
      <w:keepLines/>
      <w:spacing w:before="260" w:after="260" w:line="415" w:lineRule="auto"/>
      <w:outlineLvl w:val="1"/>
    </w:pPr>
    <w:rPr>
      <w:rFonts w:ascii="宋体" w:hAnsi="宋体" w:eastAsia="黑体"/>
      <w:b/>
      <w:bCs/>
      <w:sz w:val="32"/>
      <w:szCs w:val="32"/>
    </w:rPr>
  </w:style>
  <w:style w:type="paragraph" w:styleId="5">
    <w:name w:val="heading 3"/>
    <w:basedOn w:val="1"/>
    <w:next w:val="1"/>
    <w:qFormat/>
    <w:uiPriority w:val="9"/>
    <w:pPr>
      <w:keepNext/>
      <w:keepLines/>
      <w:numPr>
        <w:ilvl w:val="2"/>
        <w:numId w:val="1"/>
      </w:numPr>
      <w:adjustRightInd w:val="0"/>
      <w:spacing w:line="360" w:lineRule="auto"/>
      <w:ind w:right="20" w:rightChars="20"/>
      <w:jc w:val="left"/>
      <w:outlineLvl w:val="2"/>
    </w:pPr>
    <w:rPr>
      <w:rFonts w:ascii="宋体" w:hAnsi="宋体"/>
      <w:b/>
      <w:bCs/>
      <w:color w:val="000000"/>
      <w:sz w:val="28"/>
      <w:szCs w:val="32"/>
    </w:rPr>
  </w:style>
  <w:style w:type="paragraph" w:styleId="6">
    <w:name w:val="heading 4"/>
    <w:basedOn w:val="1"/>
    <w:next w:val="1"/>
    <w:qFormat/>
    <w:uiPriority w:val="9"/>
    <w:pPr>
      <w:keepNext/>
      <w:keepLines/>
      <w:numPr>
        <w:ilvl w:val="3"/>
        <w:numId w:val="1"/>
      </w:numPr>
      <w:spacing w:line="360" w:lineRule="auto"/>
      <w:ind w:left="1060" w:leftChars="100" w:right="30" w:rightChars="30" w:firstLine="850"/>
      <w:jc w:val="left"/>
      <w:outlineLvl w:val="3"/>
    </w:pPr>
    <w:rPr>
      <w:rFonts w:ascii="Arial" w:hAnsi="Arial"/>
      <w:b/>
      <w:bCs/>
      <w:color w:val="333333"/>
      <w:sz w:val="28"/>
      <w:szCs w:val="28"/>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link w:val="76"/>
    <w:qFormat/>
    <w:uiPriority w:val="99"/>
    <w:pPr>
      <w:ind w:left="143"/>
    </w:pPr>
    <w:rPr>
      <w:rFonts w:ascii="宋体" w:cs="宋体"/>
    </w:rPr>
  </w:style>
  <w:style w:type="paragraph" w:styleId="7">
    <w:name w:val="Normal Indent"/>
    <w:basedOn w:val="1"/>
    <w:unhideWhenUsed/>
    <w:qFormat/>
    <w:uiPriority w:val="99"/>
    <w:pPr>
      <w:ind w:firstLine="420" w:firstLineChars="200"/>
    </w:pPr>
  </w:style>
  <w:style w:type="paragraph" w:styleId="8">
    <w:name w:val="caption"/>
    <w:basedOn w:val="1"/>
    <w:next w:val="1"/>
    <w:qFormat/>
    <w:uiPriority w:val="35"/>
    <w:rPr>
      <w:rFonts w:ascii="Cambria" w:hAnsi="Cambria" w:eastAsia="黑体"/>
      <w:sz w:val="20"/>
      <w:szCs w:val="20"/>
    </w:rPr>
  </w:style>
  <w:style w:type="paragraph" w:styleId="9">
    <w:name w:val="annotation text"/>
    <w:basedOn w:val="1"/>
    <w:link w:val="51"/>
    <w:unhideWhenUsed/>
    <w:qFormat/>
    <w:uiPriority w:val="0"/>
    <w:pPr>
      <w:jc w:val="left"/>
    </w:pPr>
  </w:style>
  <w:style w:type="paragraph" w:styleId="10">
    <w:name w:val="toc 3"/>
    <w:basedOn w:val="1"/>
    <w:next w:val="1"/>
    <w:unhideWhenUsed/>
    <w:qFormat/>
    <w:uiPriority w:val="39"/>
    <w:pPr>
      <w:ind w:left="840" w:leftChars="400"/>
    </w:pPr>
  </w:style>
  <w:style w:type="paragraph" w:styleId="11">
    <w:name w:val="Plain Text"/>
    <w:basedOn w:val="1"/>
    <w:link w:val="39"/>
    <w:unhideWhenUsed/>
    <w:qFormat/>
    <w:uiPriority w:val="0"/>
    <w:rPr>
      <w:rFonts w:ascii="宋体" w:hAnsi="Courier New"/>
    </w:rPr>
  </w:style>
  <w:style w:type="paragraph" w:styleId="12">
    <w:name w:val="Balloon Text"/>
    <w:basedOn w:val="1"/>
    <w:link w:val="52"/>
    <w:unhideWhenUsed/>
    <w:qFormat/>
    <w:uiPriority w:val="99"/>
    <w:rPr>
      <w:sz w:val="18"/>
      <w:szCs w:val="18"/>
    </w:rPr>
  </w:style>
  <w:style w:type="paragraph" w:styleId="13">
    <w:name w:val="footer"/>
    <w:basedOn w:val="1"/>
    <w:link w:val="32"/>
    <w:qFormat/>
    <w:uiPriority w:val="99"/>
    <w:pPr>
      <w:tabs>
        <w:tab w:val="center" w:pos="4153"/>
        <w:tab w:val="right" w:pos="8306"/>
      </w:tabs>
      <w:snapToGrid w:val="0"/>
      <w:jc w:val="left"/>
    </w:pPr>
    <w:rPr>
      <w:rFonts w:ascii="Calibri" w:hAnsi="Calibri"/>
      <w:kern w:val="0"/>
      <w:sz w:val="18"/>
      <w:szCs w:val="18"/>
    </w:rPr>
  </w:style>
  <w:style w:type="paragraph" w:styleId="14">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style>
  <w:style w:type="paragraph" w:styleId="16">
    <w:name w:val="toc 4"/>
    <w:basedOn w:val="1"/>
    <w:next w:val="1"/>
    <w:unhideWhenUsed/>
    <w:qFormat/>
    <w:uiPriority w:val="39"/>
    <w:pPr>
      <w:ind w:left="1260" w:leftChars="600"/>
    </w:pPr>
  </w:style>
  <w:style w:type="paragraph" w:styleId="17">
    <w:name w:val="Subtitle"/>
    <w:basedOn w:val="1"/>
    <w:next w:val="1"/>
    <w:link w:val="37"/>
    <w:qFormat/>
    <w:uiPriority w:val="0"/>
    <w:pPr>
      <w:spacing w:before="240" w:after="60" w:line="312" w:lineRule="auto"/>
      <w:jc w:val="left"/>
      <w:outlineLvl w:val="1"/>
    </w:pPr>
    <w:rPr>
      <w:rFonts w:ascii="Calibri" w:hAnsi="Calibri"/>
      <w:b/>
      <w:bCs/>
      <w:kern w:val="28"/>
      <w:szCs w:val="32"/>
    </w:rPr>
  </w:style>
  <w:style w:type="paragraph" w:styleId="18">
    <w:name w:val="toc 2"/>
    <w:basedOn w:val="1"/>
    <w:next w:val="1"/>
    <w:unhideWhenUsed/>
    <w:qFormat/>
    <w:uiPriority w:val="39"/>
    <w:pPr>
      <w:ind w:left="420" w:leftChars="200"/>
    </w:pPr>
  </w:style>
  <w:style w:type="paragraph" w:styleId="19">
    <w:name w:val="Normal (Web)"/>
    <w:basedOn w:val="1"/>
    <w:unhideWhenUsed/>
    <w:qFormat/>
    <w:uiPriority w:val="99"/>
    <w:pPr>
      <w:spacing w:before="100" w:beforeAutospacing="1" w:after="100" w:afterAutospacing="1"/>
      <w:jc w:val="left"/>
    </w:pPr>
    <w:rPr>
      <w:kern w:val="0"/>
      <w:sz w:val="24"/>
    </w:rPr>
  </w:style>
  <w:style w:type="paragraph" w:styleId="20">
    <w:name w:val="annotation subject"/>
    <w:basedOn w:val="9"/>
    <w:next w:val="9"/>
    <w:link w:val="66"/>
    <w:semiHidden/>
    <w:unhideWhenUsed/>
    <w:qFormat/>
    <w:uiPriority w:val="99"/>
    <w:rPr>
      <w:b/>
      <w:bCs/>
    </w:r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Hyperlink"/>
    <w:unhideWhenUsed/>
    <w:qFormat/>
    <w:uiPriority w:val="99"/>
    <w:rPr>
      <w:color w:val="0000FF"/>
      <w:u w:val="single"/>
    </w:rPr>
  </w:style>
  <w:style w:type="character" w:styleId="25">
    <w:name w:val="annotation reference"/>
    <w:unhideWhenUsed/>
    <w:qFormat/>
    <w:uiPriority w:val="0"/>
    <w:rPr>
      <w:sz w:val="21"/>
      <w:szCs w:val="21"/>
    </w:rPr>
  </w:style>
  <w:style w:type="character" w:customStyle="1" w:styleId="26">
    <w:name w:val="标题 1 字符"/>
    <w:link w:val="3"/>
    <w:qFormat/>
    <w:uiPriority w:val="0"/>
    <w:rPr>
      <w:rFonts w:ascii="Times New Roman" w:hAnsi="Times New Roman" w:eastAsia="宋体" w:cs="Times New Roman"/>
      <w:b/>
      <w:bCs/>
      <w:kern w:val="44"/>
      <w:sz w:val="44"/>
      <w:szCs w:val="44"/>
    </w:rPr>
  </w:style>
  <w:style w:type="character" w:customStyle="1" w:styleId="27">
    <w:name w:val="标题 2 字符"/>
    <w:link w:val="4"/>
    <w:qFormat/>
    <w:uiPriority w:val="0"/>
    <w:rPr>
      <w:rFonts w:ascii="宋体" w:hAnsi="宋体" w:eastAsia="黑体" w:cs="Times New Roman"/>
      <w:b/>
      <w:bCs/>
      <w:sz w:val="32"/>
      <w:szCs w:val="32"/>
    </w:rPr>
  </w:style>
  <w:style w:type="character" w:customStyle="1" w:styleId="28">
    <w:name w:val="font01"/>
    <w:qFormat/>
    <w:uiPriority w:val="0"/>
    <w:rPr>
      <w:rFonts w:hint="eastAsia" w:ascii="宋体" w:hAnsi="宋体" w:eastAsia="宋体" w:cs="宋体"/>
      <w:color w:val="000000"/>
      <w:sz w:val="20"/>
      <w:szCs w:val="20"/>
      <w:u w:val="none"/>
    </w:rPr>
  </w:style>
  <w:style w:type="character" w:customStyle="1" w:styleId="29">
    <w:name w:val="样式 宋体"/>
    <w:qFormat/>
    <w:uiPriority w:val="0"/>
    <w:rPr>
      <w:rFonts w:ascii="宋体" w:hAnsi="宋体"/>
      <w:sz w:val="21"/>
    </w:rPr>
  </w:style>
  <w:style w:type="character" w:customStyle="1" w:styleId="30">
    <w:name w:val="font31"/>
    <w:qFormat/>
    <w:uiPriority w:val="0"/>
    <w:rPr>
      <w:rFonts w:ascii="Symbol" w:hAnsi="Symbol" w:cs="Symbol"/>
      <w:color w:val="000000"/>
      <w:sz w:val="21"/>
      <w:szCs w:val="21"/>
      <w:u w:val="none"/>
    </w:rPr>
  </w:style>
  <w:style w:type="character" w:customStyle="1" w:styleId="31">
    <w:name w:val="font11"/>
    <w:qFormat/>
    <w:uiPriority w:val="0"/>
    <w:rPr>
      <w:rFonts w:hint="eastAsia" w:ascii="宋体" w:hAnsi="宋体" w:eastAsia="宋体" w:cs="宋体"/>
      <w:color w:val="000000"/>
      <w:sz w:val="21"/>
      <w:szCs w:val="21"/>
      <w:u w:val="none"/>
    </w:rPr>
  </w:style>
  <w:style w:type="character" w:customStyle="1" w:styleId="32">
    <w:name w:val="页脚 字符"/>
    <w:link w:val="13"/>
    <w:qFormat/>
    <w:uiPriority w:val="99"/>
    <w:rPr>
      <w:rFonts w:ascii="Calibri" w:hAnsi="Calibri" w:eastAsia="宋体" w:cs="Times New Roman"/>
      <w:kern w:val="0"/>
      <w:sz w:val="18"/>
      <w:szCs w:val="18"/>
    </w:rPr>
  </w:style>
  <w:style w:type="character" w:customStyle="1" w:styleId="33">
    <w:name w:val="标题 9 Char"/>
    <w:qFormat/>
    <w:uiPriority w:val="0"/>
    <w:rPr>
      <w:rFonts w:ascii="Arial" w:hAnsi="Arial" w:eastAsia="黑体" w:cs="Times New Roman"/>
      <w:szCs w:val="20"/>
    </w:rPr>
  </w:style>
  <w:style w:type="character" w:customStyle="1" w:styleId="34">
    <w:name w:val="标题 6 Char"/>
    <w:qFormat/>
    <w:uiPriority w:val="0"/>
    <w:rPr>
      <w:rFonts w:hint="default" w:ascii="Arial" w:hAnsi="Arial" w:eastAsia="黑体" w:cs="Times New Roman"/>
      <w:b/>
      <w:sz w:val="24"/>
      <w:szCs w:val="20"/>
    </w:rPr>
  </w:style>
  <w:style w:type="character" w:customStyle="1" w:styleId="35">
    <w:name w:val="font71"/>
    <w:qFormat/>
    <w:uiPriority w:val="0"/>
    <w:rPr>
      <w:rFonts w:hint="eastAsia" w:ascii="微软雅黑" w:hAnsi="微软雅黑" w:eastAsia="微软雅黑" w:cs="微软雅黑"/>
      <w:color w:val="000000"/>
      <w:sz w:val="18"/>
      <w:szCs w:val="18"/>
      <w:u w:val="none"/>
    </w:rPr>
  </w:style>
  <w:style w:type="character" w:customStyle="1" w:styleId="36">
    <w:name w:val="纯文本 Char1"/>
    <w:semiHidden/>
    <w:qFormat/>
    <w:uiPriority w:val="99"/>
    <w:rPr>
      <w:rFonts w:ascii="宋体" w:hAnsi="Courier New" w:eastAsia="宋体" w:cs="Courier New"/>
      <w:szCs w:val="21"/>
    </w:rPr>
  </w:style>
  <w:style w:type="character" w:customStyle="1" w:styleId="37">
    <w:name w:val="副标题 字符"/>
    <w:link w:val="17"/>
    <w:qFormat/>
    <w:uiPriority w:val="0"/>
    <w:rPr>
      <w:rFonts w:ascii="Calibri" w:hAnsi="Calibri" w:eastAsia="宋体" w:cs="Times New Roman"/>
      <w:b/>
      <w:bCs/>
      <w:kern w:val="28"/>
      <w:szCs w:val="32"/>
    </w:rPr>
  </w:style>
  <w:style w:type="character" w:customStyle="1" w:styleId="38">
    <w:name w:val="标题 8 Char"/>
    <w:qFormat/>
    <w:uiPriority w:val="0"/>
    <w:rPr>
      <w:rFonts w:hint="default" w:ascii="Arial" w:hAnsi="Arial" w:eastAsia="黑体" w:cs="Times New Roman"/>
      <w:sz w:val="24"/>
      <w:szCs w:val="20"/>
    </w:rPr>
  </w:style>
  <w:style w:type="character" w:customStyle="1" w:styleId="39">
    <w:name w:val="纯文本 字符"/>
    <w:link w:val="11"/>
    <w:semiHidden/>
    <w:qFormat/>
    <w:locked/>
    <w:uiPriority w:val="0"/>
    <w:rPr>
      <w:rFonts w:ascii="宋体" w:hAnsi="Courier New" w:eastAsia="宋体" w:cs="Times New Roman"/>
    </w:rPr>
  </w:style>
  <w:style w:type="character" w:customStyle="1" w:styleId="40">
    <w:name w:val="页眉 字符"/>
    <w:link w:val="14"/>
    <w:qFormat/>
    <w:uiPriority w:val="99"/>
    <w:rPr>
      <w:kern w:val="2"/>
      <w:sz w:val="18"/>
      <w:szCs w:val="18"/>
    </w:rPr>
  </w:style>
  <w:style w:type="character" w:customStyle="1" w:styleId="41">
    <w:name w:val="font51"/>
    <w:qFormat/>
    <w:uiPriority w:val="0"/>
    <w:rPr>
      <w:rFonts w:hint="eastAsia" w:ascii="宋体" w:hAnsi="宋体" w:eastAsia="宋体" w:cs="宋体"/>
      <w:b/>
      <w:color w:val="000000"/>
      <w:sz w:val="20"/>
      <w:szCs w:val="20"/>
      <w:u w:val="none"/>
    </w:rPr>
  </w:style>
  <w:style w:type="character" w:customStyle="1" w:styleId="42">
    <w:name w:val="带圈数字样式 Char"/>
    <w:link w:val="43"/>
    <w:qFormat/>
    <w:locked/>
    <w:uiPriority w:val="0"/>
    <w:rPr>
      <w:rFonts w:ascii="宋体"/>
      <w:kern w:val="2"/>
      <w:sz w:val="21"/>
      <w:szCs w:val="21"/>
    </w:rPr>
  </w:style>
  <w:style w:type="paragraph" w:customStyle="1" w:styleId="43">
    <w:name w:val="带圈数字样式"/>
    <w:basedOn w:val="1"/>
    <w:link w:val="42"/>
    <w:qFormat/>
    <w:uiPriority w:val="0"/>
    <w:pPr>
      <w:numPr>
        <w:ilvl w:val="0"/>
        <w:numId w:val="2"/>
      </w:numPr>
      <w:spacing w:line="400" w:lineRule="exact"/>
    </w:pPr>
    <w:rPr>
      <w:rFonts w:ascii="宋体"/>
      <w:szCs w:val="21"/>
    </w:rPr>
  </w:style>
  <w:style w:type="character" w:customStyle="1" w:styleId="44">
    <w:name w:val="font61"/>
    <w:qFormat/>
    <w:uiPriority w:val="0"/>
    <w:rPr>
      <w:rFonts w:hint="eastAsia" w:ascii="宋体" w:hAnsi="宋体" w:eastAsia="宋体" w:cs="宋体"/>
      <w:color w:val="000000"/>
      <w:sz w:val="20"/>
      <w:szCs w:val="20"/>
      <w:u w:val="none"/>
    </w:rPr>
  </w:style>
  <w:style w:type="character" w:customStyle="1" w:styleId="45">
    <w:name w:val="font41"/>
    <w:qFormat/>
    <w:uiPriority w:val="0"/>
    <w:rPr>
      <w:rFonts w:hint="eastAsia" w:ascii="宋体" w:hAnsi="宋体" w:eastAsia="宋体" w:cs="宋体"/>
      <w:color w:val="000000"/>
      <w:sz w:val="20"/>
      <w:szCs w:val="20"/>
      <w:u w:val="none"/>
    </w:rPr>
  </w:style>
  <w:style w:type="character" w:customStyle="1" w:styleId="46">
    <w:name w:val="标题 7 Char"/>
    <w:qFormat/>
    <w:uiPriority w:val="0"/>
    <w:rPr>
      <w:rFonts w:hint="default" w:ascii="Times New Roman" w:hAnsi="Times New Roman" w:eastAsia="宋体" w:cs="Times New Roman"/>
      <w:b/>
      <w:sz w:val="24"/>
      <w:szCs w:val="20"/>
    </w:rPr>
  </w:style>
  <w:style w:type="character" w:customStyle="1" w:styleId="47">
    <w:name w:val="正文标准 Char"/>
    <w:link w:val="48"/>
    <w:qFormat/>
    <w:uiPriority w:val="0"/>
    <w:rPr>
      <w:rFonts w:hint="default" w:ascii="Times New Roman" w:hAnsi="Times New Roman" w:eastAsia="宋体" w:cs="Times New Roman"/>
      <w:szCs w:val="21"/>
    </w:rPr>
  </w:style>
  <w:style w:type="paragraph" w:customStyle="1" w:styleId="48">
    <w:name w:val="正文标准"/>
    <w:basedOn w:val="1"/>
    <w:link w:val="47"/>
    <w:qFormat/>
    <w:uiPriority w:val="0"/>
    <w:pPr>
      <w:ind w:firstLine="200" w:firstLineChars="200"/>
    </w:pPr>
    <w:rPr>
      <w:szCs w:val="21"/>
    </w:rPr>
  </w:style>
  <w:style w:type="character" w:customStyle="1" w:styleId="49">
    <w:name w:val="font21"/>
    <w:qFormat/>
    <w:uiPriority w:val="0"/>
    <w:rPr>
      <w:rFonts w:hint="eastAsia" w:ascii="微软雅黑" w:hAnsi="微软雅黑" w:eastAsia="微软雅黑" w:cs="微软雅黑"/>
      <w:color w:val="FF0000"/>
      <w:sz w:val="18"/>
      <w:szCs w:val="18"/>
      <w:u w:val="none"/>
    </w:rPr>
  </w:style>
  <w:style w:type="character" w:customStyle="1" w:styleId="50">
    <w:name w:val="标题 3 Char"/>
    <w:qFormat/>
    <w:uiPriority w:val="0"/>
    <w:rPr>
      <w:rFonts w:hint="eastAsia" w:ascii="宋体" w:hAnsi="宋体" w:eastAsia="宋体" w:cs="Times New Roman"/>
      <w:color w:val="000000"/>
      <w:spacing w:val="20"/>
      <w:kern w:val="0"/>
      <w:sz w:val="20"/>
      <w:szCs w:val="20"/>
    </w:rPr>
  </w:style>
  <w:style w:type="character" w:customStyle="1" w:styleId="51">
    <w:name w:val="批注文字 字符"/>
    <w:basedOn w:val="23"/>
    <w:link w:val="9"/>
    <w:qFormat/>
    <w:uiPriority w:val="0"/>
  </w:style>
  <w:style w:type="character" w:customStyle="1" w:styleId="52">
    <w:name w:val="批注框文本 字符"/>
    <w:link w:val="12"/>
    <w:semiHidden/>
    <w:qFormat/>
    <w:uiPriority w:val="99"/>
    <w:rPr>
      <w:sz w:val="18"/>
      <w:szCs w:val="18"/>
    </w:rPr>
  </w:style>
  <w:style w:type="paragraph" w:customStyle="1" w:styleId="53">
    <w:name w:val="样式 标题 1 + 行距: 1.5 倍行距"/>
    <w:basedOn w:val="3"/>
    <w:qFormat/>
    <w:uiPriority w:val="0"/>
    <w:pPr>
      <w:spacing w:line="360" w:lineRule="auto"/>
    </w:pPr>
    <w:rPr>
      <w:rFonts w:cs="宋体"/>
      <w:sz w:val="30"/>
      <w:szCs w:val="20"/>
    </w:rPr>
  </w:style>
  <w:style w:type="paragraph" w:customStyle="1" w:styleId="54">
    <w:name w:val="Item List in Table"/>
    <w:basedOn w:val="1"/>
    <w:qFormat/>
    <w:uiPriority w:val="0"/>
    <w:pPr>
      <w:widowControl/>
      <w:numPr>
        <w:ilvl w:val="0"/>
        <w:numId w:val="3"/>
      </w:numPr>
      <w:topLinePunct/>
      <w:snapToGrid w:val="0"/>
      <w:spacing w:before="80" w:after="80" w:line="240" w:lineRule="atLeast"/>
      <w:ind w:firstLine="0"/>
      <w:jc w:val="left"/>
    </w:pPr>
    <w:rPr>
      <w:rFonts w:hint="eastAsia" w:cs="Arial"/>
      <w:szCs w:val="21"/>
    </w:rPr>
  </w:style>
  <w:style w:type="paragraph" w:customStyle="1" w:styleId="55">
    <w:name w:val="文档正文"/>
    <w:basedOn w:val="1"/>
    <w:qFormat/>
    <w:uiPriority w:val="0"/>
    <w:pPr>
      <w:adjustRightInd w:val="0"/>
      <w:spacing w:line="312" w:lineRule="atLeast"/>
      <w:ind w:firstLine="567"/>
      <w:textAlignment w:val="baseline"/>
    </w:pPr>
    <w:rPr>
      <w:rFonts w:ascii="长城仿宋" w:eastAsia="长城仿宋"/>
      <w:sz w:val="28"/>
    </w:rPr>
  </w:style>
  <w:style w:type="paragraph" w:customStyle="1" w:styleId="56">
    <w:name w:val="正文-首行缩进"/>
    <w:basedOn w:val="1"/>
    <w:qFormat/>
    <w:uiPriority w:val="0"/>
    <w:pPr>
      <w:spacing w:line="288" w:lineRule="auto"/>
      <w:ind w:left="425" w:firstLine="200" w:firstLineChars="200"/>
    </w:pPr>
  </w:style>
  <w:style w:type="paragraph" w:customStyle="1" w:styleId="57">
    <w:name w:val="List Paragraph2"/>
    <w:basedOn w:val="1"/>
    <w:qFormat/>
    <w:uiPriority w:val="0"/>
    <w:pPr>
      <w:ind w:firstLine="420" w:firstLineChars="200"/>
    </w:pPr>
    <w:rPr>
      <w:szCs w:val="21"/>
    </w:rPr>
  </w:style>
  <w:style w:type="paragraph" w:customStyle="1" w:styleId="58">
    <w:name w:val="表格文本"/>
    <w:basedOn w:val="1"/>
    <w:qFormat/>
    <w:uiPriority w:val="0"/>
    <w:pPr>
      <w:widowControl/>
      <w:spacing w:before="20" w:after="20"/>
    </w:pPr>
    <w:rPr>
      <w:rFonts w:cs="宋体"/>
      <w:bCs/>
      <w:color w:val="000000"/>
      <w:kern w:val="0"/>
      <w:sz w:val="20"/>
      <w:szCs w:val="20"/>
      <w:lang w:val="zh-CN"/>
    </w:rPr>
  </w:style>
  <w:style w:type="paragraph" w:customStyle="1" w:styleId="59">
    <w:name w:val="TOC 标题1"/>
    <w:basedOn w:val="3"/>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 w:type="paragraph" w:styleId="60">
    <w:name w:val="List Paragraph"/>
    <w:basedOn w:val="1"/>
    <w:link w:val="75"/>
    <w:qFormat/>
    <w:uiPriority w:val="34"/>
    <w:pPr>
      <w:ind w:firstLine="420" w:firstLineChars="200"/>
    </w:pPr>
  </w:style>
  <w:style w:type="paragraph" w:customStyle="1" w:styleId="61">
    <w:name w:val="正文2"/>
    <w:basedOn w:val="7"/>
    <w:qFormat/>
    <w:uiPriority w:val="0"/>
    <w:pPr>
      <w:spacing w:line="360" w:lineRule="auto"/>
      <w:ind w:firstLine="480"/>
      <w:jc w:val="left"/>
    </w:pPr>
    <w:rPr>
      <w:rFonts w:ascii="宋体" w:hAnsi="宋体"/>
      <w:sz w:val="24"/>
      <w:szCs w:val="24"/>
    </w:rPr>
  </w:style>
  <w:style w:type="paragraph" w:customStyle="1" w:styleId="62">
    <w:name w:val="样式 标题 3 + 宋体"/>
    <w:basedOn w:val="5"/>
    <w:qFormat/>
    <w:uiPriority w:val="0"/>
    <w:rPr>
      <w:bCs w:val="0"/>
    </w:rPr>
  </w:style>
  <w:style w:type="paragraph" w:customStyle="1" w:styleId="63">
    <w:name w:val="样式 正文文本缩进 + 左  0 字符"/>
    <w:basedOn w:val="1"/>
    <w:qFormat/>
    <w:uiPriority w:val="0"/>
    <w:pPr>
      <w:ind w:firstLine="250" w:firstLineChars="250"/>
    </w:pPr>
    <w:rPr>
      <w:kern w:val="0"/>
      <w:szCs w:val="20"/>
    </w:rPr>
  </w:style>
  <w:style w:type="paragraph" w:customStyle="1" w:styleId="64">
    <w:name w:val="网格表 31"/>
    <w:basedOn w:val="3"/>
    <w:next w:val="1"/>
    <w:qFormat/>
    <w:uiPriority w:val="39"/>
    <w:pPr>
      <w:widowControl/>
      <w:spacing w:before="240" w:after="0" w:line="256" w:lineRule="auto"/>
      <w:jc w:val="left"/>
      <w:outlineLvl w:val="9"/>
    </w:pPr>
    <w:rPr>
      <w:rFonts w:ascii="Calibri Light" w:hAnsi="Calibri Light"/>
      <w:b w:val="0"/>
      <w:bCs w:val="0"/>
      <w:color w:val="2E74B5"/>
      <w:kern w:val="0"/>
      <w:sz w:val="32"/>
      <w:szCs w:val="32"/>
    </w:rPr>
  </w:style>
  <w:style w:type="paragraph" w:customStyle="1" w:styleId="65">
    <w:name w:val="*正文"/>
    <w:basedOn w:val="1"/>
    <w:qFormat/>
    <w:uiPriority w:val="0"/>
    <w:pPr>
      <w:widowControl/>
      <w:spacing w:before="200" w:after="200" w:line="360" w:lineRule="auto"/>
      <w:ind w:firstLine="200" w:firstLineChars="200"/>
    </w:pPr>
    <w:rPr>
      <w:rFonts w:ascii="仿宋_GB2312" w:eastAsia="仿宋_GB2312"/>
      <w:sz w:val="24"/>
      <w:szCs w:val="28"/>
    </w:rPr>
  </w:style>
  <w:style w:type="character" w:customStyle="1" w:styleId="66">
    <w:name w:val="批注主题 字符"/>
    <w:basedOn w:val="51"/>
    <w:link w:val="20"/>
    <w:semiHidden/>
    <w:qFormat/>
    <w:uiPriority w:val="99"/>
    <w:rPr>
      <w:b/>
      <w:bCs/>
      <w:kern w:val="2"/>
      <w:sz w:val="21"/>
      <w:szCs w:val="22"/>
    </w:rPr>
  </w:style>
  <w:style w:type="paragraph" w:customStyle="1" w:styleId="67">
    <w:name w:val="p0"/>
    <w:basedOn w:val="1"/>
    <w:qFormat/>
    <w:uiPriority w:val="0"/>
    <w:pPr>
      <w:widowControl/>
    </w:pPr>
    <w:rPr>
      <w:kern w:val="0"/>
      <w:szCs w:val="21"/>
    </w:rPr>
  </w:style>
  <w:style w:type="paragraph" w:customStyle="1" w:styleId="68">
    <w:name w:val="列出段落1"/>
    <w:basedOn w:val="1"/>
    <w:qFormat/>
    <w:uiPriority w:val="0"/>
    <w:pPr>
      <w:ind w:firstLine="420" w:firstLineChars="200"/>
    </w:pPr>
    <w:rPr>
      <w:rFonts w:ascii="Calibri" w:hAnsi="Calibri"/>
    </w:rPr>
  </w:style>
  <w:style w:type="paragraph" w:customStyle="1" w:styleId="69">
    <w:name w:val="Item List"/>
    <w:qFormat/>
    <w:uiPriority w:val="0"/>
    <w:pPr>
      <w:numPr>
        <w:ilvl w:val="0"/>
        <w:numId w:val="4"/>
      </w:numPr>
      <w:adjustRightInd w:val="0"/>
      <w:snapToGrid w:val="0"/>
      <w:spacing w:before="80" w:after="80" w:line="240" w:lineRule="atLeast"/>
    </w:pPr>
    <w:rPr>
      <w:rFonts w:hint="eastAsia" w:ascii="Times New Roman" w:hAnsi="Times New Roman" w:eastAsia="宋体" w:cs="Arial"/>
      <w:kern w:val="2"/>
      <w:sz w:val="21"/>
      <w:szCs w:val="21"/>
      <w:lang w:val="en-US" w:eastAsia="zh-CN" w:bidi="ar-SA"/>
    </w:rPr>
  </w:style>
  <w:style w:type="paragraph" w:customStyle="1" w:styleId="70">
    <w:name w:val="Item List Text"/>
    <w:qFormat/>
    <w:uiPriority w:val="0"/>
    <w:pPr>
      <w:adjustRightInd w:val="0"/>
      <w:snapToGrid w:val="0"/>
      <w:spacing w:before="80" w:after="80" w:line="240" w:lineRule="atLeast"/>
      <w:ind w:left="2126"/>
    </w:pPr>
    <w:rPr>
      <w:rFonts w:hint="eastAsia" w:ascii="Times New Roman" w:hAnsi="Times New Roman" w:eastAsia="宋体" w:cs="Times New Roman"/>
      <w:kern w:val="2"/>
      <w:sz w:val="21"/>
      <w:szCs w:val="21"/>
      <w:lang w:val="en-US" w:eastAsia="zh-CN" w:bidi="ar-SA"/>
    </w:rPr>
  </w:style>
  <w:style w:type="paragraph" w:customStyle="1" w:styleId="71">
    <w:name w:val="Sub Item List"/>
    <w:basedOn w:val="1"/>
    <w:qFormat/>
    <w:uiPriority w:val="0"/>
    <w:pPr>
      <w:widowControl/>
      <w:numPr>
        <w:ilvl w:val="0"/>
        <w:numId w:val="5"/>
      </w:numPr>
      <w:topLinePunct/>
      <w:adjustRightInd w:val="0"/>
      <w:snapToGrid w:val="0"/>
      <w:spacing w:before="80" w:after="80" w:line="240" w:lineRule="atLeast"/>
      <w:jc w:val="left"/>
    </w:pPr>
    <w:rPr>
      <w:rFonts w:hint="eastAsia" w:cs="Arial"/>
      <w:szCs w:val="21"/>
    </w:rPr>
  </w:style>
  <w:style w:type="paragraph" w:customStyle="1" w:styleId="72">
    <w:name w:val="Third Level Item List"/>
    <w:basedOn w:val="1"/>
    <w:qFormat/>
    <w:uiPriority w:val="0"/>
    <w:pPr>
      <w:widowControl/>
      <w:numPr>
        <w:ilvl w:val="1"/>
        <w:numId w:val="5"/>
      </w:numPr>
      <w:topLinePunct/>
      <w:adjustRightInd w:val="0"/>
      <w:snapToGrid w:val="0"/>
      <w:spacing w:before="80" w:after="80" w:line="240" w:lineRule="atLeast"/>
      <w:jc w:val="left"/>
    </w:pPr>
    <w:rPr>
      <w:rFonts w:hint="eastAsia" w:cs="Arial"/>
      <w:szCs w:val="21"/>
    </w:rPr>
  </w:style>
  <w:style w:type="paragraph" w:customStyle="1" w:styleId="73">
    <w:name w:val="Fourth Level Item List"/>
    <w:basedOn w:val="1"/>
    <w:qFormat/>
    <w:uiPriority w:val="0"/>
    <w:pPr>
      <w:widowControl/>
      <w:numPr>
        <w:ilvl w:val="2"/>
        <w:numId w:val="5"/>
      </w:numPr>
      <w:topLinePunct/>
      <w:adjustRightInd w:val="0"/>
      <w:snapToGrid w:val="0"/>
      <w:spacing w:before="80" w:after="80" w:line="240" w:lineRule="atLeast"/>
      <w:jc w:val="left"/>
    </w:pPr>
    <w:rPr>
      <w:rFonts w:hint="eastAsia" w:cs="Arial"/>
      <w:szCs w:val="21"/>
    </w:rPr>
  </w:style>
  <w:style w:type="paragraph" w:customStyle="1" w:styleId="74">
    <w:name w:val="Sub Item List Text"/>
    <w:qFormat/>
    <w:uiPriority w:val="0"/>
    <w:pPr>
      <w:adjustRightInd w:val="0"/>
      <w:snapToGrid w:val="0"/>
      <w:spacing w:before="80" w:after="80" w:line="240" w:lineRule="atLeast"/>
      <w:ind w:left="2551"/>
    </w:pPr>
    <w:rPr>
      <w:rFonts w:hint="eastAsia" w:ascii="Times New Roman" w:hAnsi="Times New Roman" w:eastAsia="宋体" w:cs="Arial"/>
      <w:kern w:val="2"/>
      <w:sz w:val="21"/>
      <w:szCs w:val="21"/>
      <w:lang w:val="en-US" w:eastAsia="zh-CN" w:bidi="ar-SA"/>
    </w:rPr>
  </w:style>
  <w:style w:type="character" w:customStyle="1" w:styleId="75">
    <w:name w:val="列表段落 字符"/>
    <w:link w:val="60"/>
    <w:qFormat/>
    <w:uiPriority w:val="34"/>
    <w:rPr>
      <w:kern w:val="2"/>
      <w:sz w:val="21"/>
      <w:szCs w:val="22"/>
    </w:rPr>
  </w:style>
  <w:style w:type="character" w:customStyle="1" w:styleId="76">
    <w:name w:val="正文文本 字符"/>
    <w:basedOn w:val="23"/>
    <w:link w:val="2"/>
    <w:qFormat/>
    <w:uiPriority w:val="99"/>
    <w:rPr>
      <w:rFonts w:ascii="宋体" w:cs="宋体"/>
      <w:kern w:val="2"/>
      <w:sz w:val="21"/>
      <w:szCs w:val="22"/>
    </w:rPr>
  </w:style>
  <w:style w:type="paragraph" w:customStyle="1" w:styleId="77">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CB547A-6BAD-4B44-9A51-760631FC115B}">
  <ds:schemaRefs/>
</ds:datastoreItem>
</file>

<file path=docProps/app.xml><?xml version="1.0" encoding="utf-8"?>
<Properties xmlns="http://schemas.openxmlformats.org/officeDocument/2006/extended-properties" xmlns:vt="http://schemas.openxmlformats.org/officeDocument/2006/docPropsVTypes">
  <Template>Normal.dotm</Template>
  <Pages>63</Pages>
  <Words>5513</Words>
  <Characters>31429</Characters>
  <Lines>261</Lines>
  <Paragraphs>73</Paragraphs>
  <TotalTime>4</TotalTime>
  <ScaleCrop>false</ScaleCrop>
  <LinksUpToDate>false</LinksUpToDate>
  <CharactersWithSpaces>36869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2020-10-09T02:35:00Z</dcterms:created>
  <dc:creator>cantus</dc:creator>
  <cp:lastModifiedBy>摩天輪の眼淚</cp:lastModifiedBy>
  <cp:lastPrinted>2020-10-06T09:56:00Z</cp:lastPrinted>
  <dcterms:modified xsi:type="dcterms:W3CDTF">2020-10-09T05:52:20Z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